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commentsIds.xml" ContentType="application/vnd.openxmlformats-officedocument.wordprocessingml.commentsId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header1.xml" ContentType="application/vnd.openxmlformats-officedocument.wordprocessingml.header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160" w:line="259" w:lineRule="auto"/>
        <w:ind/>
        <w:rPr>
          <w:rFonts w:ascii="Times New Roman" w:hAnsi="Times New Roman" w:cs="Times New Roman"/>
          <w:b/>
          <w:bCs/>
          <w:i/>
          <w:iCs/>
          <w:color w:val="ff0000"/>
          <w:sz w:val="24"/>
        </w:rPr>
      </w:pP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</w:r>
    </w:p>
    <w:p>
      <w:pPr>
        <w:pBdr/>
        <w:spacing w:after="160" w:line="259" w:lineRule="auto"/>
        <w:ind/>
        <w:rPr>
          <w:rFonts w:ascii="Times New Roman" w:hAnsi="Times New Roman" w:cs="Times New Roman"/>
          <w:b/>
          <w:bCs/>
          <w:i/>
          <w:iCs/>
          <w:color w:val="ff0000"/>
          <w:sz w:val="24"/>
        </w:rPr>
      </w:pP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</w:r>
    </w:p>
    <w:p>
      <w:pPr>
        <w:pBdr/>
        <w:spacing/>
        <w:ind/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</w:pPr>
      <w:r>
        <w:rPr>
          <w:color w:val="0070c0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70c0"/>
          <w:sz w:val="28"/>
          <w:szCs w:val="28"/>
        </w:rPr>
        <w:t xml:space="preserve">AVISO DE  </w:t>
      </w:r>
      <w:r>
        <w:rPr>
          <w:rFonts w:ascii="Times New Roman" w:hAnsi="Times New Roman" w:cs="Times New Roman"/>
          <w:b/>
          <w:bCs/>
          <w:color w:val="0070c0"/>
          <w:sz w:val="28"/>
          <w:szCs w:val="28"/>
        </w:rPr>
        <w:t xml:space="preserve">CONTRATAÇÃO </w:t>
      </w:r>
      <w:r>
        <w:rPr>
          <w:rFonts w:ascii="Times New Roman" w:hAnsi="Times New Roman" w:cs="Times New Roman"/>
          <w:b/>
          <w:bCs/>
          <w:color w:val="0070c0"/>
          <w:sz w:val="28"/>
          <w:szCs w:val="28"/>
        </w:rPr>
        <w:t xml:space="preserve">DIRETA</w:t>
      </w:r>
      <w:r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</w:r>
      <w:r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b/>
          <w:bCs/>
          <w:color w:val="5b5b5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5b5b5f"/>
          <w:sz w:val="28"/>
          <w:szCs w:val="28"/>
        </w:rPr>
        <w:t xml:space="preserve">900</w:t>
      </w:r>
      <w:r>
        <w:rPr>
          <w:rFonts w:ascii="Times New Roman" w:hAnsi="Times New Roman" w:cs="Times New Roman"/>
          <w:b/>
          <w:bCs/>
          <w:color w:val="5b5b5f"/>
          <w:sz w:val="28"/>
          <w:szCs w:val="28"/>
        </w:rPr>
        <w:t xml:space="preserve">04</w:t>
      </w:r>
      <w:r>
        <w:rPr>
          <w:rFonts w:ascii="Times New Roman" w:hAnsi="Times New Roman" w:cs="Times New Roman"/>
          <w:b/>
          <w:bCs/>
          <w:color w:val="5b5b5f"/>
          <w:sz w:val="28"/>
          <w:szCs w:val="28"/>
        </w:rPr>
        <w:t xml:space="preserve">/202</w:t>
      </w:r>
      <w:r>
        <w:rPr>
          <w:rFonts w:ascii="Times New Roman" w:hAnsi="Times New Roman" w:cs="Times New Roman"/>
          <w:b/>
          <w:bCs/>
          <w:color w:val="5b5b5f"/>
          <w:sz w:val="28"/>
          <w:szCs w:val="28"/>
        </w:rPr>
        <w:t xml:space="preserve">4</w:t>
      </w:r>
      <w:r>
        <w:rPr>
          <w:rFonts w:ascii="Times New Roman" w:hAnsi="Times New Roman" w:cs="Times New Roman"/>
          <w:b/>
          <w:bCs/>
          <w:color w:val="5b5b5f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5b5b5f"/>
          <w:sz w:val="28"/>
          <w:szCs w:val="28"/>
        </w:rPr>
      </w:r>
    </w:p>
    <w:p>
      <w:pPr>
        <w:pBdr/>
        <w:spacing w:line="259" w:lineRule="auto"/>
        <w:ind/>
        <w:rPr>
          <w:rFonts w:ascii="Times New Roman" w:hAnsi="Times New Roman" w:cs="Times New Roman"/>
          <w:b/>
          <w:bCs/>
          <w:color w:val="405ca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405ca1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405ca1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405ca1"/>
          <w:sz w:val="28"/>
          <w:szCs w:val="28"/>
        </w:rPr>
      </w:r>
    </w:p>
    <w:p>
      <w:pPr>
        <w:pBdr/>
        <w:spacing w:line="259" w:lineRule="auto"/>
        <w:ind/>
        <w:rPr>
          <w:rFonts w:ascii="Times New Roman" w:hAnsi="Times New Roman" w:cs="Times New Roman"/>
          <w:b/>
          <w:bCs/>
          <w:color w:val="405ca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405ca1"/>
          <w:sz w:val="28"/>
          <w:szCs w:val="28"/>
        </w:rPr>
        <w:t xml:space="preserve">CONTRATANTE (UASG)</w:t>
      </w:r>
      <w:r>
        <w:rPr>
          <w:rFonts w:ascii="Times New Roman" w:hAnsi="Times New Roman" w:cs="Times New Roman"/>
          <w:b/>
          <w:bCs/>
          <w:color w:val="405ca1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405ca1"/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b/>
          <w:bCs/>
          <w:color w:val="5b5b5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5b5b5f"/>
          <w:sz w:val="28"/>
          <w:szCs w:val="28"/>
        </w:rPr>
        <w:t xml:space="preserve">DEPÓSITO CENTRAL DE MUNIÇÃO (160246)</w:t>
      </w:r>
      <w:r>
        <w:rPr>
          <w:rFonts w:ascii="Times New Roman" w:hAnsi="Times New Roman" w:cs="Times New Roman"/>
          <w:b/>
          <w:bCs/>
          <w:color w:val="5b5b5f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5b5b5f"/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b/>
          <w:bCs/>
          <w:color w:val="405ca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405ca1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405ca1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405ca1"/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b/>
          <w:bCs/>
          <w:color w:val="5b5b5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405ca1"/>
          <w:sz w:val="28"/>
          <w:szCs w:val="28"/>
        </w:rPr>
        <w:t xml:space="preserve">OBJETO</w:t>
      </w:r>
      <w:r>
        <w:rPr>
          <w:rFonts w:ascii="Times New Roman" w:hAnsi="Times New Roman" w:cs="Times New Roman"/>
          <w:b/>
          <w:bCs/>
          <w:color w:val="5b5b5f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5b5b5f"/>
          <w:sz w:val="28"/>
          <w:szCs w:val="28"/>
        </w:rPr>
      </w:r>
    </w:p>
    <w:p>
      <w:pPr>
        <w:pBdr/>
        <w:spacing/>
        <w:ind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595959" w:themeColor="text1" w:themeTint="A6"/>
          <w:sz w:val="28"/>
          <w:szCs w:val="28"/>
        </w:rPr>
        <w:t xml:space="preserve">Dispensa de Licitação para aquisição de Máquina de Fusão de Fibra Óptica.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b/>
          <w:bCs/>
          <w:color w:val="5b5b5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5b5b5f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5b5b5f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5b5b5f"/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b/>
          <w:bCs/>
          <w:color w:val="405ca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405ca1"/>
          <w:sz w:val="28"/>
          <w:szCs w:val="28"/>
        </w:rPr>
        <w:t xml:space="preserve">VALOR TOTAL DA CONTRATAÇÃO</w:t>
      </w:r>
      <w:r>
        <w:rPr>
          <w:rFonts w:ascii="Times New Roman" w:hAnsi="Times New Roman" w:cs="Times New Roman"/>
          <w:b/>
          <w:bCs/>
          <w:color w:val="405ca1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405ca1"/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b/>
          <w:bCs/>
          <w:color w:val="5b5b5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5b5b5f"/>
          <w:sz w:val="28"/>
          <w:szCs w:val="28"/>
        </w:rPr>
        <w:t xml:space="preserve">R$ </w:t>
      </w:r>
      <w:r>
        <w:rPr>
          <w:rFonts w:ascii="Times New Roman" w:hAnsi="Times New Roman" w:cs="Times New Roman"/>
          <w:b/>
          <w:bCs/>
          <w:color w:val="5b5b5f"/>
          <w:sz w:val="28"/>
          <w:szCs w:val="28"/>
        </w:rPr>
        <w:t xml:space="preserve">13.285,00</w:t>
      </w:r>
      <w:r>
        <w:rPr>
          <w:rFonts w:ascii="Times New Roman" w:hAnsi="Times New Roman" w:cs="Times New Roman"/>
          <w:b/>
          <w:bCs/>
          <w:color w:val="5b5b5f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5b5b5f"/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b/>
          <w:bCs/>
          <w:color w:val="5b5b5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5b5b5f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5b5b5f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5b5b5f"/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b/>
          <w:bCs/>
          <w:color w:val="405ca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405ca1"/>
          <w:sz w:val="28"/>
          <w:szCs w:val="28"/>
        </w:rPr>
        <w:t xml:space="preserve">DATA DA SESSÃO</w:t>
      </w:r>
      <w:r>
        <w:rPr>
          <w:rFonts w:ascii="Times New Roman" w:hAnsi="Times New Roman" w:cs="Times New Roman"/>
          <w:b/>
          <w:bCs/>
          <w:color w:val="405ca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405ca1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405ca1"/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b/>
          <w:bCs/>
          <w:color w:val="5b5b5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5b5b5f"/>
          <w:sz w:val="28"/>
          <w:szCs w:val="28"/>
        </w:rPr>
        <w:t xml:space="preserve">De </w:t>
      </w:r>
      <w:r>
        <w:rPr>
          <w:rFonts w:ascii="Times New Roman" w:hAnsi="Times New Roman" w:cs="Times New Roman"/>
          <w:b/>
          <w:bCs/>
          <w:color w:val="5b5b5f"/>
          <w:sz w:val="28"/>
          <w:szCs w:val="28"/>
        </w:rPr>
        <w:t xml:space="preserve">12</w:t>
      </w:r>
      <w:r>
        <w:rPr>
          <w:rFonts w:ascii="Times New Roman" w:hAnsi="Times New Roman" w:cs="Times New Roman"/>
          <w:b/>
          <w:bCs/>
          <w:color w:val="5b5b5f"/>
          <w:sz w:val="28"/>
          <w:szCs w:val="28"/>
        </w:rPr>
        <w:t xml:space="preserve">/</w:t>
      </w:r>
      <w:r>
        <w:rPr>
          <w:rFonts w:ascii="Times New Roman" w:hAnsi="Times New Roman" w:cs="Times New Roman"/>
          <w:b/>
          <w:bCs/>
          <w:color w:val="5b5b5f"/>
          <w:sz w:val="28"/>
          <w:szCs w:val="28"/>
        </w:rPr>
        <w:t xml:space="preserve">06</w:t>
      </w:r>
      <w:r>
        <w:rPr>
          <w:rFonts w:ascii="Times New Roman" w:hAnsi="Times New Roman" w:cs="Times New Roman"/>
          <w:b/>
          <w:bCs/>
          <w:color w:val="5b5b5f"/>
          <w:sz w:val="28"/>
          <w:szCs w:val="28"/>
        </w:rPr>
        <w:t xml:space="preserve">/202</w:t>
      </w:r>
      <w:r>
        <w:rPr>
          <w:rFonts w:ascii="Times New Roman" w:hAnsi="Times New Roman" w:cs="Times New Roman"/>
          <w:b/>
          <w:bCs/>
          <w:color w:val="5b5b5f"/>
          <w:sz w:val="28"/>
          <w:szCs w:val="28"/>
        </w:rPr>
        <w:t xml:space="preserve">4</w:t>
      </w:r>
      <w:r>
        <w:rPr>
          <w:rFonts w:ascii="Times New Roman" w:hAnsi="Times New Roman" w:cs="Times New Roman"/>
          <w:b/>
          <w:bCs/>
          <w:color w:val="5b5b5f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5b5b5f"/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b/>
          <w:bCs/>
          <w:color w:val="5b5b5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5b5b5f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5b5b5f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5b5b5f"/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b/>
          <w:bCs/>
          <w:color w:val="405ca1"/>
          <w:sz w:val="28"/>
          <w:szCs w:val="28"/>
        </w:rPr>
      </w:pPr>
      <w:r>
        <w:rPr>
          <w:sz w:val="28"/>
          <w:szCs w:val="28"/>
        </w:rPr>
      </w:r>
      <w:r>
        <w:rPr>
          <w:rFonts w:ascii="Times New Roman" w:hAnsi="Times New Roman" w:cs="Times New Roman"/>
          <w:b/>
          <w:bCs/>
          <w:color w:val="405ca1"/>
          <w:sz w:val="28"/>
          <w:szCs w:val="28"/>
        </w:rPr>
        <w:t xml:space="preserve">HORÁRIO DA FASE D</w:t>
      </w:r>
      <w:r>
        <w:rPr>
          <w:rFonts w:ascii="Times New Roman" w:hAnsi="Times New Roman" w:cs="Times New Roman"/>
          <w:b/>
          <w:bCs/>
          <w:color w:val="405ca1"/>
          <w:sz w:val="28"/>
          <w:szCs w:val="28"/>
        </w:rPr>
        <w:t xml:space="preserve">E LANCES</w:t>
      </w:r>
      <w:r>
        <w:rPr>
          <w:rFonts w:ascii="Times New Roman" w:hAnsi="Times New Roman" w:cs="Times New Roman"/>
          <w:b/>
          <w:bCs/>
          <w:color w:val="405ca1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405ca1"/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b/>
          <w:bCs/>
          <w:color w:val="5b5b5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5b5b5f"/>
          <w:sz w:val="28"/>
          <w:szCs w:val="28"/>
        </w:rPr>
        <w:t xml:space="preserve">Das </w:t>
      </w:r>
      <w:r>
        <w:rPr>
          <w:rFonts w:ascii="Times New Roman" w:hAnsi="Times New Roman" w:cs="Times New Roman"/>
          <w:b/>
          <w:bCs/>
          <w:color w:val="5b5b5f"/>
          <w:sz w:val="28"/>
          <w:szCs w:val="28"/>
        </w:rPr>
        <w:t xml:space="preserve">08:00</w:t>
      </w:r>
      <w:r>
        <w:rPr>
          <w:rFonts w:ascii="Times New Roman" w:hAnsi="Times New Roman" w:cs="Times New Roman"/>
          <w:b/>
          <w:bCs/>
          <w:color w:val="5b5b5f"/>
          <w:sz w:val="28"/>
          <w:szCs w:val="28"/>
        </w:rPr>
        <w:t xml:space="preserve">h até </w:t>
      </w:r>
      <w:r>
        <w:rPr>
          <w:rFonts w:ascii="Times New Roman" w:hAnsi="Times New Roman" w:cs="Times New Roman"/>
          <w:b/>
          <w:bCs/>
          <w:color w:val="5b5b5f"/>
          <w:sz w:val="28"/>
          <w:szCs w:val="28"/>
        </w:rPr>
        <w:t xml:space="preserve">14:00</w:t>
      </w:r>
      <w:r>
        <w:rPr>
          <w:rFonts w:ascii="Times New Roman" w:hAnsi="Times New Roman" w:cs="Times New Roman"/>
          <w:b/>
          <w:bCs/>
          <w:color w:val="5b5b5f"/>
          <w:sz w:val="28"/>
          <w:szCs w:val="28"/>
        </w:rPr>
        <w:t xml:space="preserve">h</w:t>
      </w:r>
      <w:r>
        <w:rPr>
          <w:rFonts w:ascii="Times New Roman" w:hAnsi="Times New Roman" w:cs="Times New Roman"/>
          <w:b/>
          <w:bCs/>
          <w:color w:val="5b5b5f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5b5b5f"/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b/>
          <w:bCs/>
          <w:color w:val="405ca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405ca1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405ca1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405ca1"/>
          <w:sz w:val="28"/>
          <w:szCs w:val="28"/>
        </w:rPr>
      </w:r>
    </w:p>
    <w:p>
      <w:pPr>
        <w:pBdr/>
        <w:spacing w:after="160" w:line="259" w:lineRule="auto"/>
        <w:ind/>
        <w:rPr>
          <w:rFonts w:ascii="Times New Roman" w:hAnsi="Times New Roman" w:cs="Times New Roman"/>
          <w:b/>
          <w:bCs/>
          <w:color w:val="405ca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405ca1"/>
          <w:sz w:val="28"/>
          <w:szCs w:val="28"/>
        </w:rPr>
        <w:t xml:space="preserve">CRITÉRIO DE JULGAMENTO:</w:t>
      </w:r>
      <w:r>
        <w:rPr>
          <w:rFonts w:ascii="Times New Roman" w:hAnsi="Times New Roman" w:cs="Times New Roman"/>
          <w:b/>
          <w:bCs/>
          <w:color w:val="405ca1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405ca1"/>
          <w:sz w:val="28"/>
          <w:szCs w:val="28"/>
        </w:rPr>
      </w:r>
    </w:p>
    <w:p>
      <w:pPr>
        <w:pBdr/>
        <w:spacing w:after="160" w:line="259" w:lineRule="auto"/>
        <w:ind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Menor Preço Por Item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r>
    </w:p>
    <w:p>
      <w:pPr>
        <w:pBdr/>
        <w:spacing w:after="160" w:line="259" w:lineRule="auto"/>
        <w:ind/>
        <w:rPr>
          <w:rFonts w:ascii="Times New Roman" w:hAnsi="Times New Roman" w:cs="Times New Roman"/>
          <w:b/>
          <w:bCs/>
          <w:color w:val="405ca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405ca1"/>
          <w:sz w:val="28"/>
          <w:szCs w:val="28"/>
        </w:rPr>
        <w:t xml:space="preserve">PREFERÊNCIA ME/EPP/EQUIPARADAS</w:t>
      </w:r>
      <w:r>
        <w:rPr>
          <w:rFonts w:ascii="Times New Roman" w:hAnsi="Times New Roman" w:cs="Times New Roman"/>
          <w:b/>
          <w:bCs/>
          <w:color w:val="405ca1"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olor w:val="5b5b5f"/>
          <w:sz w:val="28"/>
          <w:szCs w:val="28"/>
        </w:rPr>
        <w:t xml:space="preserve">SIM</w:t>
      </w:r>
      <w:r>
        <w:rPr>
          <w:rFonts w:ascii="Times New Roman" w:hAnsi="Times New Roman" w:cs="Times New Roman"/>
          <w:b/>
          <w:bCs/>
          <w:color w:val="405ca1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405ca1"/>
          <w:sz w:val="28"/>
          <w:szCs w:val="28"/>
        </w:rPr>
      </w:r>
    </w:p>
    <w:p>
      <w:pPr>
        <w:pBdr/>
        <w:spacing w:after="160" w:line="259" w:lineRule="auto"/>
        <w:ind/>
        <w:rPr>
          <w:rFonts w:ascii="Times New Roman" w:hAnsi="Times New Roman" w:cs="Times New Roman"/>
          <w:b/>
          <w:bCs/>
          <w:i/>
          <w:iCs/>
          <w:color w:val="ff0000"/>
          <w:sz w:val="24"/>
        </w:rPr>
      </w:pP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</w:r>
    </w:p>
    <w:p>
      <w:pPr>
        <w:pBdr/>
        <w:spacing w:after="160" w:line="259" w:lineRule="auto"/>
        <w:ind/>
        <w:rPr>
          <w:rFonts w:ascii="Times New Roman" w:hAnsi="Times New Roman" w:cs="Times New Roman"/>
          <w:b/>
          <w:bCs/>
          <w:i/>
          <w:iCs/>
          <w:color w:val="ff0000"/>
          <w:sz w:val="24"/>
        </w:rPr>
      </w:pP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</w:r>
    </w:p>
    <w:p>
      <w:pPr>
        <w:pBdr/>
        <w:spacing w:after="160" w:line="259" w:lineRule="auto"/>
        <w:ind/>
        <w:rPr>
          <w:rFonts w:ascii="Times New Roman" w:hAnsi="Times New Roman" w:cs="Times New Roman"/>
          <w:b/>
          <w:bCs/>
          <w:i/>
          <w:iCs/>
          <w:color w:val="ff0000"/>
          <w:sz w:val="24"/>
        </w:rPr>
      </w:pP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</w:r>
    </w:p>
    <w:p>
      <w:pPr>
        <w:pBdr/>
        <w:spacing w:after="160" w:line="259" w:lineRule="auto"/>
        <w:ind/>
        <w:rPr>
          <w:rFonts w:ascii="Times New Roman" w:hAnsi="Times New Roman" w:cs="Times New Roman"/>
          <w:b/>
          <w:bCs/>
          <w:i/>
          <w:iCs/>
          <w:color w:val="ff0000"/>
          <w:sz w:val="24"/>
        </w:rPr>
      </w:pP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</w:r>
    </w:p>
    <w:p>
      <w:pPr>
        <w:pBdr/>
        <w:spacing w:after="160" w:line="259" w:lineRule="auto"/>
        <w:ind/>
        <w:rPr>
          <w:rFonts w:ascii="Times New Roman" w:hAnsi="Times New Roman" w:cs="Times New Roman"/>
          <w:b/>
          <w:bCs/>
          <w:i/>
          <w:iCs/>
          <w:color w:val="ff0000"/>
          <w:sz w:val="24"/>
        </w:rPr>
      </w:pP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</w:r>
    </w:p>
    <w:p>
      <w:pPr>
        <w:pBdr/>
        <w:spacing w:after="160" w:line="259" w:lineRule="auto"/>
        <w:ind/>
        <w:rPr>
          <w:rFonts w:ascii="Times New Roman" w:hAnsi="Times New Roman" w:cs="Times New Roman"/>
          <w:b/>
          <w:bCs/>
          <w:i/>
          <w:iCs/>
          <w:color w:val="ff0000"/>
          <w:sz w:val="24"/>
        </w:rPr>
      </w:pP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</w:r>
    </w:p>
    <w:p>
      <w:pPr>
        <w:pBdr/>
        <w:spacing w:after="160" w:line="259" w:lineRule="auto"/>
        <w:ind/>
        <w:rPr>
          <w:rFonts w:ascii="Times New Roman" w:hAnsi="Times New Roman" w:cs="Times New Roman"/>
          <w:b/>
          <w:bCs/>
          <w:i/>
          <w:iCs/>
          <w:color w:val="ff0000"/>
          <w:sz w:val="24"/>
        </w:rPr>
      </w:pP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  <w:br w:type="page" w:clear="all"/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</w:r>
    </w:p>
    <w:p>
      <w:pPr>
        <w:pBdr/>
        <w:spacing w:line="276" w:lineRule="auto"/>
        <w:ind/>
        <w:jc w:val="center"/>
        <w:rPr>
          <w:rFonts w:ascii="Times New Roman" w:hAnsi="Times New Roman" w:cs="Times New Roman"/>
          <w:b/>
          <w:bCs/>
          <w:i/>
          <w:iCs/>
          <w:color w:val="ff0000"/>
          <w:sz w:val="24"/>
        </w:rPr>
      </w:pP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</w:r>
    </w:p>
    <w:p>
      <w:pPr>
        <w:pBdr/>
        <w:spacing w:after="160" w:line="259" w:lineRule="auto"/>
        <w:ind/>
        <w:rPr>
          <w:rFonts w:ascii="Times New Roman" w:hAnsi="Times New Roman" w:cs="Times New Roman"/>
          <w:b/>
          <w:bCs/>
          <w:i/>
          <w:iCs/>
          <w:color w:val="ff0000"/>
          <w:sz w:val="24"/>
        </w:rPr>
      </w:pP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</w:r>
    </w:p>
    <w:sdt>
      <w:sdtPr>
        <w15:appearance w15:val="boundingBox"/>
        <w:id w:val="158742138"/>
        <w:docPartObj>
          <w:docPartGallery w:val="Table of Contents"/>
          <w:docPartUnique w:val="true"/>
        </w:docPartObj>
        <w:rPr>
          <w:rFonts w:ascii="Times New Roman" w:hAnsi="Times New Roman" w:eastAsia="Times New Roman" w:cs="Times New Roman"/>
          <w:color w:val="auto"/>
          <w:sz w:val="24"/>
          <w:szCs w:val="24"/>
        </w:rPr>
      </w:sdtPr>
      <w:sdtContent>
        <w:p>
          <w:pPr>
            <w:pStyle w:val="1056"/>
            <w:pBdr/>
            <w:spacing/>
            <w:ind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Sumário</w:t>
          </w:r>
          <w:r>
            <w:rPr>
              <w:rFonts w:ascii="Times New Roman" w:hAnsi="Times New Roman" w:cs="Times New Roman"/>
              <w:color w:val="auto"/>
              <w:sz w:val="24"/>
              <w:szCs w:val="24"/>
            </w:rPr>
          </w:r>
          <w:r>
            <w:rPr>
              <w:rFonts w:ascii="Times New Roman" w:hAnsi="Times New Roman" w:cs="Times New Roman"/>
              <w:color w:val="auto"/>
              <w:sz w:val="24"/>
              <w:szCs w:val="24"/>
            </w:rPr>
          </w:r>
        </w:p>
        <w:p>
          <w:pPr>
            <w:pStyle w:val="1057"/>
            <w:pBdr/>
            <w:spacing/>
            <w:ind/>
            <w:rPr>
              <w:rFonts w:ascii="Times New Roman" w:hAnsi="Times New Roman" w:cs="Times New Roman" w:eastAsiaTheme="minorEastAsia"/>
              <w:sz w:val="24"/>
            </w:rPr>
          </w:pPr>
          <w:r>
            <w:rPr>
              <w:rFonts w:ascii="Times New Roman" w:hAnsi="Times New Roman" w:cs="Times New Roman"/>
              <w:sz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sz w:val="24"/>
            </w:rPr>
            <w:fldChar w:fldCharType="separate"/>
          </w:r>
          <w:hyperlink w:tooltip="#_Toc142925860" w:anchor="_Toc142925860" w:history="1">
            <w:r>
              <w:rPr>
                <w:rStyle w:val="1050"/>
                <w:rFonts w:ascii="Times New Roman" w:hAnsi="Times New Roman" w:eastAsia="Arial Unicode MS" w:cs="Times New Roman"/>
                <w:color w:val="auto"/>
                <w:sz w:val="24"/>
                <w:lang w:bidi="hi-IN"/>
              </w:rPr>
              <w:t xml:space="preserve">1.</w:t>
            </w:r>
            <w:r>
              <w:rPr>
                <w:rFonts w:ascii="Times New Roman" w:hAnsi="Times New Roman" w:cs="Times New Roman" w:eastAsiaTheme="minorEastAsia"/>
                <w:sz w:val="24"/>
              </w:rPr>
              <w:tab/>
            </w:r>
            <w:r>
              <w:rPr>
                <w:rStyle w:val="1050"/>
                <w:rFonts w:ascii="Times New Roman" w:hAnsi="Times New Roman" w:eastAsia="Arial Unicode MS" w:cs="Times New Roman"/>
                <w:color w:val="auto"/>
                <w:sz w:val="24"/>
                <w:lang w:bidi="hi-IN"/>
              </w:rPr>
              <w:t xml:space="preserve">OBJETO DA CONTRATAÇÃO DIRETA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</w:rPr>
              <w:instrText xml:space="preserve"> PAGEREF _Toc142925860 \h </w:instrTex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</w:rPr>
              <w:fldChar w:fldCharType="end"/>
            </w:r>
          </w:hyperlink>
          <w:r>
            <w:rPr>
              <w:rFonts w:ascii="Times New Roman" w:hAnsi="Times New Roman" w:cs="Times New Roman" w:eastAsiaTheme="minorEastAsia"/>
              <w:sz w:val="24"/>
            </w:rPr>
          </w:r>
          <w:r>
            <w:rPr>
              <w:rFonts w:ascii="Times New Roman" w:hAnsi="Times New Roman" w:cs="Times New Roman" w:eastAsiaTheme="minorEastAsia"/>
              <w:sz w:val="24"/>
            </w:rPr>
          </w:r>
        </w:p>
        <w:p>
          <w:pPr>
            <w:pStyle w:val="1057"/>
            <w:pBdr/>
            <w:spacing/>
            <w:ind/>
            <w:rPr>
              <w:rFonts w:ascii="Times New Roman" w:hAnsi="Times New Roman" w:cs="Times New Roman" w:eastAsiaTheme="minorEastAsia"/>
              <w:sz w:val="24"/>
            </w:rPr>
          </w:pPr>
          <w:r/>
          <w:hyperlink w:tooltip="#_Toc142925862" w:anchor="_Toc142925862" w:history="1">
            <w:r>
              <w:rPr>
                <w:rStyle w:val="1050"/>
                <w:rFonts w:ascii="Times New Roman" w:hAnsi="Times New Roman" w:eastAsia="Arial Unicode MS" w:cs="Times New Roman"/>
                <w:color w:val="auto"/>
                <w:sz w:val="24"/>
                <w:lang w:bidi="hi-IN"/>
              </w:rPr>
              <w:t xml:space="preserve">2</w:t>
            </w:r>
            <w:r>
              <w:rPr>
                <w:rStyle w:val="1050"/>
                <w:rFonts w:ascii="Times New Roman" w:hAnsi="Times New Roman" w:eastAsia="Arial Unicode MS" w:cs="Times New Roman"/>
                <w:color w:val="auto"/>
                <w:sz w:val="24"/>
                <w:lang w:bidi="hi-IN"/>
              </w:rPr>
              <w:t xml:space="preserve">.</w:t>
            </w:r>
            <w:r>
              <w:rPr>
                <w:rFonts w:ascii="Times New Roman" w:hAnsi="Times New Roman" w:cs="Times New Roman" w:eastAsiaTheme="minorEastAsia"/>
                <w:sz w:val="24"/>
              </w:rPr>
              <w:tab/>
            </w:r>
            <w:r>
              <w:rPr>
                <w:rStyle w:val="1050"/>
                <w:rFonts w:ascii="Times New Roman" w:hAnsi="Times New Roman" w:eastAsia="Arial Unicode MS" w:cs="Times New Roman"/>
                <w:color w:val="auto"/>
                <w:sz w:val="24"/>
                <w:lang w:bidi="hi-IN"/>
              </w:rPr>
              <w:t xml:space="preserve">PARTICIPAÇÃO NA DISPENSA ELETRÔNICA.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</w:rPr>
              <w:instrText xml:space="preserve"> PAGEREF _Toc142925862 \h </w:instrTex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</w:rPr>
              <w:fldChar w:fldCharType="end"/>
            </w:r>
          </w:hyperlink>
          <w:r>
            <w:rPr>
              <w:rFonts w:ascii="Times New Roman" w:hAnsi="Times New Roman" w:cs="Times New Roman" w:eastAsiaTheme="minorEastAsia"/>
              <w:sz w:val="24"/>
            </w:rPr>
          </w:r>
          <w:r>
            <w:rPr>
              <w:rFonts w:ascii="Times New Roman" w:hAnsi="Times New Roman" w:cs="Times New Roman" w:eastAsiaTheme="minorEastAsia"/>
              <w:sz w:val="24"/>
            </w:rPr>
          </w:r>
        </w:p>
        <w:p>
          <w:pPr>
            <w:pStyle w:val="1057"/>
            <w:pBdr/>
            <w:spacing/>
            <w:ind/>
            <w:rPr>
              <w:rFonts w:ascii="Times New Roman" w:hAnsi="Times New Roman" w:cs="Times New Roman" w:eastAsiaTheme="minorEastAsia"/>
              <w:sz w:val="24"/>
            </w:rPr>
          </w:pPr>
          <w:r/>
          <w:hyperlink w:tooltip="#_Toc142925863" w:anchor="_Toc142925863" w:history="1">
            <w:r>
              <w:rPr>
                <w:rStyle w:val="1050"/>
                <w:rFonts w:ascii="Times New Roman" w:hAnsi="Times New Roman" w:eastAsia="Arial Unicode MS" w:cs="Times New Roman"/>
                <w:color w:val="auto"/>
                <w:sz w:val="24"/>
                <w:lang w:bidi="hi-IN"/>
              </w:rPr>
              <w:t xml:space="preserve">3</w:t>
            </w:r>
            <w:r>
              <w:rPr>
                <w:rStyle w:val="1050"/>
                <w:rFonts w:ascii="Times New Roman" w:hAnsi="Times New Roman" w:eastAsia="Arial Unicode MS" w:cs="Times New Roman"/>
                <w:color w:val="auto"/>
                <w:sz w:val="24"/>
                <w:lang w:bidi="hi-IN"/>
              </w:rPr>
              <w:t xml:space="preserve">.</w:t>
            </w:r>
            <w:r>
              <w:rPr>
                <w:rFonts w:ascii="Times New Roman" w:hAnsi="Times New Roman" w:cs="Times New Roman" w:eastAsiaTheme="minorEastAsia"/>
                <w:sz w:val="24"/>
              </w:rPr>
              <w:tab/>
            </w:r>
            <w:r>
              <w:rPr>
                <w:rStyle w:val="1050"/>
                <w:rFonts w:ascii="Times New Roman" w:hAnsi="Times New Roman" w:eastAsia="Arial Unicode MS" w:cs="Times New Roman"/>
                <w:color w:val="auto"/>
                <w:sz w:val="24"/>
                <w:lang w:bidi="hi-IN"/>
              </w:rPr>
              <w:t xml:space="preserve">INGRESSO NA DISPENSA ELETRÔNICA E CADASTRAMENTO DA PROPOSTA INICIAL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</w:rPr>
              <w:instrText xml:space="preserve"> PAGEREF _Toc142925863 \h </w:instrTex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</w:rPr>
              <w:fldChar w:fldCharType="end"/>
            </w:r>
          </w:hyperlink>
          <w:r>
            <w:rPr>
              <w:rFonts w:ascii="Times New Roman" w:hAnsi="Times New Roman" w:cs="Times New Roman" w:eastAsiaTheme="minorEastAsia"/>
              <w:sz w:val="24"/>
            </w:rPr>
          </w:r>
          <w:r>
            <w:rPr>
              <w:rFonts w:ascii="Times New Roman" w:hAnsi="Times New Roman" w:cs="Times New Roman" w:eastAsiaTheme="minorEastAsia"/>
              <w:sz w:val="24"/>
            </w:rPr>
          </w:r>
        </w:p>
        <w:p>
          <w:pPr>
            <w:pStyle w:val="1057"/>
            <w:pBdr/>
            <w:spacing/>
            <w:ind/>
            <w:rPr>
              <w:rFonts w:ascii="Times New Roman" w:hAnsi="Times New Roman" w:cs="Times New Roman" w:eastAsiaTheme="minorEastAsia"/>
              <w:sz w:val="24"/>
            </w:rPr>
          </w:pPr>
          <w:r/>
          <w:hyperlink w:tooltip="#_Toc142925864" w:anchor="_Toc142925864" w:history="1">
            <w:r>
              <w:rPr>
                <w:rStyle w:val="1050"/>
                <w:rFonts w:ascii="Times New Roman" w:hAnsi="Times New Roman" w:eastAsia="Arial Unicode MS" w:cs="Times New Roman"/>
                <w:color w:val="auto"/>
                <w:sz w:val="24"/>
                <w:lang w:bidi="hi-IN"/>
              </w:rPr>
              <w:t xml:space="preserve">4</w:t>
            </w:r>
            <w:r>
              <w:rPr>
                <w:rStyle w:val="1050"/>
                <w:rFonts w:ascii="Times New Roman" w:hAnsi="Times New Roman" w:eastAsia="Arial Unicode MS" w:cs="Times New Roman"/>
                <w:color w:val="auto"/>
                <w:sz w:val="24"/>
                <w:lang w:bidi="hi-IN"/>
              </w:rPr>
              <w:t xml:space="preserve">.</w:t>
            </w:r>
            <w:r>
              <w:rPr>
                <w:rFonts w:ascii="Times New Roman" w:hAnsi="Times New Roman" w:cs="Times New Roman" w:eastAsiaTheme="minorEastAsia"/>
                <w:sz w:val="24"/>
              </w:rPr>
              <w:tab/>
            </w:r>
            <w:r>
              <w:rPr>
                <w:rStyle w:val="1050"/>
                <w:rFonts w:ascii="Times New Roman" w:hAnsi="Times New Roman" w:eastAsia="Arial Unicode MS" w:cs="Times New Roman"/>
                <w:color w:val="auto"/>
                <w:sz w:val="24"/>
                <w:lang w:bidi="hi-IN"/>
              </w:rPr>
              <w:t xml:space="preserve">FASE DE LANCES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</w:rPr>
              <w:instrText xml:space="preserve"> PAGEREF _Toc142925864 \h </w:instrTex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</w:rPr>
              <w:fldChar w:fldCharType="end"/>
            </w:r>
          </w:hyperlink>
          <w:r>
            <w:rPr>
              <w:rFonts w:ascii="Times New Roman" w:hAnsi="Times New Roman" w:cs="Times New Roman" w:eastAsiaTheme="minorEastAsia"/>
              <w:sz w:val="24"/>
            </w:rPr>
          </w:r>
          <w:r>
            <w:rPr>
              <w:rFonts w:ascii="Times New Roman" w:hAnsi="Times New Roman" w:cs="Times New Roman" w:eastAsiaTheme="minorEastAsia"/>
              <w:sz w:val="24"/>
            </w:rPr>
          </w:r>
        </w:p>
        <w:p>
          <w:pPr>
            <w:pStyle w:val="1057"/>
            <w:pBdr/>
            <w:spacing/>
            <w:ind/>
            <w:rPr>
              <w:rFonts w:ascii="Times New Roman" w:hAnsi="Times New Roman" w:cs="Times New Roman" w:eastAsiaTheme="minorEastAsia"/>
              <w:sz w:val="24"/>
            </w:rPr>
          </w:pPr>
          <w:r/>
          <w:hyperlink w:tooltip="#_Toc142925865" w:anchor="_Toc142925865" w:history="1">
            <w:r>
              <w:rPr>
                <w:rStyle w:val="1050"/>
                <w:rFonts w:ascii="Times New Roman" w:hAnsi="Times New Roman" w:eastAsia="Arial Unicode MS" w:cs="Times New Roman"/>
                <w:color w:val="auto"/>
                <w:sz w:val="24"/>
                <w:lang w:bidi="hi-IN"/>
              </w:rPr>
              <w:t xml:space="preserve">5</w:t>
            </w:r>
            <w:r>
              <w:rPr>
                <w:rStyle w:val="1050"/>
                <w:rFonts w:ascii="Times New Roman" w:hAnsi="Times New Roman" w:eastAsia="Arial Unicode MS" w:cs="Times New Roman"/>
                <w:color w:val="auto"/>
                <w:sz w:val="24"/>
                <w:lang w:bidi="hi-IN"/>
              </w:rPr>
              <w:t xml:space="preserve">.</w:t>
            </w:r>
            <w:r>
              <w:rPr>
                <w:rFonts w:ascii="Times New Roman" w:hAnsi="Times New Roman" w:cs="Times New Roman" w:eastAsiaTheme="minorEastAsia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 xml:space="preserve">JULGAMENTO E ACEITAÇÃO DAS PROPOSTAS 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</w:rPr>
              <w:instrText xml:space="preserve"> PAGEREF _Toc142925865 \h </w:instrTex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</w:rPr>
              <w:fldChar w:fldCharType="end"/>
            </w:r>
          </w:hyperlink>
          <w:r>
            <w:rPr>
              <w:rFonts w:ascii="Times New Roman" w:hAnsi="Times New Roman" w:cs="Times New Roman" w:eastAsiaTheme="minorEastAsia"/>
              <w:sz w:val="24"/>
            </w:rPr>
          </w:r>
          <w:r>
            <w:rPr>
              <w:rFonts w:ascii="Times New Roman" w:hAnsi="Times New Roman" w:cs="Times New Roman" w:eastAsiaTheme="minorEastAsia"/>
              <w:sz w:val="24"/>
            </w:rPr>
          </w:r>
        </w:p>
        <w:p>
          <w:pPr>
            <w:pStyle w:val="1057"/>
            <w:pBdr/>
            <w:spacing/>
            <w:ind/>
            <w:rPr>
              <w:rFonts w:ascii="Times New Roman" w:hAnsi="Times New Roman" w:cs="Times New Roman" w:eastAsiaTheme="minorEastAsia"/>
              <w:sz w:val="24"/>
            </w:rPr>
          </w:pPr>
          <w:r/>
          <w:hyperlink w:tooltip="#_Toc142925866" w:anchor="_Toc142925866" w:history="1">
            <w:r>
              <w:rPr>
                <w:rStyle w:val="1050"/>
                <w:rFonts w:ascii="Times New Roman" w:hAnsi="Times New Roman" w:eastAsia="Arial Unicode MS" w:cs="Times New Roman"/>
                <w:color w:val="auto"/>
                <w:sz w:val="24"/>
                <w:lang w:bidi="hi-IN"/>
              </w:rPr>
              <w:t xml:space="preserve">6</w:t>
            </w:r>
            <w:r>
              <w:rPr>
                <w:rStyle w:val="1050"/>
                <w:rFonts w:ascii="Times New Roman" w:hAnsi="Times New Roman" w:eastAsia="Arial Unicode MS" w:cs="Times New Roman"/>
                <w:color w:val="auto"/>
                <w:sz w:val="24"/>
                <w:lang w:bidi="hi-IN"/>
              </w:rPr>
              <w:t xml:space="preserve">.</w:t>
            </w:r>
            <w:r>
              <w:rPr>
                <w:rFonts w:ascii="Times New Roman" w:hAnsi="Times New Roman" w:cs="Times New Roman" w:eastAsiaTheme="minorEastAsia"/>
                <w:sz w:val="24"/>
              </w:rPr>
              <w:tab/>
            </w:r>
            <w:r>
              <w:rPr>
                <w:rStyle w:val="1050"/>
                <w:rFonts w:ascii="Times New Roman" w:hAnsi="Times New Roman" w:eastAsia="Arial Unicode MS" w:cs="Times New Roman"/>
                <w:color w:val="auto"/>
                <w:sz w:val="24"/>
                <w:lang w:bidi="hi-IN"/>
              </w:rPr>
              <w:t xml:space="preserve">HABILITAÇÃO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</w:rPr>
              <w:instrText xml:space="preserve"> PAGEREF _Toc142925866 \h </w:instrTex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</w:rPr>
              <w:fldChar w:fldCharType="end"/>
            </w:r>
          </w:hyperlink>
          <w:r>
            <w:rPr>
              <w:rFonts w:ascii="Times New Roman" w:hAnsi="Times New Roman" w:cs="Times New Roman" w:eastAsiaTheme="minorEastAsia"/>
              <w:sz w:val="24"/>
            </w:rPr>
          </w:r>
          <w:r>
            <w:rPr>
              <w:rFonts w:ascii="Times New Roman" w:hAnsi="Times New Roman" w:cs="Times New Roman" w:eastAsiaTheme="minorEastAsia"/>
              <w:sz w:val="24"/>
            </w:rPr>
          </w:r>
        </w:p>
        <w:p>
          <w:pPr>
            <w:pStyle w:val="1057"/>
            <w:pBdr/>
            <w:spacing/>
            <w:ind/>
            <w:rPr>
              <w:rFonts w:ascii="Times New Roman" w:hAnsi="Times New Roman" w:cs="Times New Roman" w:eastAsiaTheme="minorEastAsia"/>
              <w:sz w:val="24"/>
            </w:rPr>
          </w:pPr>
          <w:r/>
          <w:hyperlink w:tooltip="#_Toc142925869" w:anchor="_Toc142925869" w:history="1">
            <w:r>
              <w:rPr>
                <w:rStyle w:val="1050"/>
                <w:rFonts w:ascii="Times New Roman" w:hAnsi="Times New Roman" w:eastAsia="Arial Unicode MS" w:cs="Times New Roman"/>
                <w:color w:val="auto"/>
                <w:sz w:val="24"/>
                <w:lang w:bidi="hi-IN"/>
              </w:rPr>
              <w:t xml:space="preserve">7</w:t>
            </w:r>
            <w:r>
              <w:rPr>
                <w:rStyle w:val="1050"/>
                <w:rFonts w:ascii="Times New Roman" w:hAnsi="Times New Roman" w:eastAsia="Arial Unicode MS" w:cs="Times New Roman"/>
                <w:color w:val="auto"/>
                <w:sz w:val="24"/>
                <w:lang w:bidi="hi-IN"/>
              </w:rPr>
              <w:t xml:space="preserve">.</w:t>
            </w:r>
            <w:r>
              <w:rPr>
                <w:rFonts w:ascii="Times New Roman" w:hAnsi="Times New Roman" w:cs="Times New Roman" w:eastAsiaTheme="minorEastAsia"/>
                <w:sz w:val="24"/>
              </w:rPr>
              <w:tab/>
            </w:r>
            <w:r>
              <w:rPr>
                <w:rStyle w:val="1050"/>
                <w:rFonts w:ascii="Times New Roman" w:hAnsi="Times New Roman" w:eastAsia="Arial Unicode MS" w:cs="Times New Roman"/>
                <w:color w:val="auto"/>
                <w:sz w:val="24"/>
                <w:lang w:bidi="hi-IN"/>
              </w:rPr>
              <w:t xml:space="preserve">CONTRATAÇÃO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</w:rPr>
              <w:instrText xml:space="preserve"> PAGEREF _Toc142925869 \h </w:instrTex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</w:rPr>
              <w:t xml:space="preserve">13</w:t>
            </w:r>
            <w:r>
              <w:rPr>
                <w:rFonts w:ascii="Times New Roman" w:hAnsi="Times New Roman" w:cs="Times New Roman"/>
                <w:sz w:val="24"/>
              </w:rPr>
              <w:fldChar w:fldCharType="end"/>
            </w:r>
          </w:hyperlink>
          <w:r>
            <w:rPr>
              <w:rFonts w:ascii="Times New Roman" w:hAnsi="Times New Roman" w:cs="Times New Roman" w:eastAsiaTheme="minorEastAsia"/>
              <w:sz w:val="24"/>
            </w:rPr>
          </w:r>
          <w:r>
            <w:rPr>
              <w:rFonts w:ascii="Times New Roman" w:hAnsi="Times New Roman" w:cs="Times New Roman" w:eastAsiaTheme="minorEastAsia"/>
              <w:sz w:val="24"/>
            </w:rPr>
          </w:r>
        </w:p>
        <w:p>
          <w:pPr>
            <w:pStyle w:val="1057"/>
            <w:pBdr/>
            <w:spacing/>
            <w:ind/>
            <w:rPr>
              <w:rFonts w:ascii="Times New Roman" w:hAnsi="Times New Roman" w:cs="Times New Roman" w:eastAsiaTheme="minorEastAsia"/>
              <w:sz w:val="24"/>
            </w:rPr>
          </w:pPr>
          <w:r/>
          <w:hyperlink w:tooltip="#_Toc142925870" w:anchor="_Toc142925870" w:history="1">
            <w:r>
              <w:rPr>
                <w:rStyle w:val="1050"/>
                <w:rFonts w:ascii="Times New Roman" w:hAnsi="Times New Roman" w:eastAsia="Arial Unicode MS" w:cs="Times New Roman"/>
                <w:color w:val="auto"/>
                <w:sz w:val="24"/>
                <w:lang w:bidi="hi-IN"/>
              </w:rPr>
              <w:t xml:space="preserve">8</w:t>
            </w:r>
            <w:r>
              <w:rPr>
                <w:rStyle w:val="1050"/>
                <w:rFonts w:ascii="Times New Roman" w:hAnsi="Times New Roman" w:eastAsia="Arial Unicode MS" w:cs="Times New Roman"/>
                <w:color w:val="auto"/>
                <w:sz w:val="24"/>
                <w:lang w:bidi="hi-IN"/>
              </w:rPr>
              <w:t xml:space="preserve">.</w:t>
            </w:r>
            <w:r>
              <w:rPr>
                <w:rFonts w:ascii="Times New Roman" w:hAnsi="Times New Roman" w:cs="Times New Roman" w:eastAsiaTheme="minorEastAsia"/>
                <w:sz w:val="24"/>
              </w:rPr>
              <w:tab/>
            </w:r>
            <w:r>
              <w:rPr>
                <w:rStyle w:val="1050"/>
                <w:rFonts w:ascii="Times New Roman" w:hAnsi="Times New Roman" w:eastAsia="Arial Unicode MS" w:cs="Times New Roman"/>
                <w:color w:val="auto"/>
                <w:sz w:val="24"/>
                <w:lang w:bidi="hi-IN"/>
              </w:rPr>
              <w:t xml:space="preserve">INFRAÇÕES E SANÇÕES ADMINISTRATIVAS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</w:rPr>
              <w:instrText xml:space="preserve"> PAGEREF _Toc142925870 \h </w:instrTex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</w:rPr>
              <w:t xml:space="preserve">14</w:t>
            </w:r>
            <w:r>
              <w:rPr>
                <w:rFonts w:ascii="Times New Roman" w:hAnsi="Times New Roman" w:cs="Times New Roman"/>
                <w:sz w:val="24"/>
              </w:rPr>
              <w:fldChar w:fldCharType="end"/>
            </w:r>
          </w:hyperlink>
          <w:r>
            <w:rPr>
              <w:rFonts w:ascii="Times New Roman" w:hAnsi="Times New Roman" w:cs="Times New Roman" w:eastAsiaTheme="minorEastAsia"/>
              <w:sz w:val="24"/>
            </w:rPr>
          </w:r>
          <w:r>
            <w:rPr>
              <w:rFonts w:ascii="Times New Roman" w:hAnsi="Times New Roman" w:cs="Times New Roman" w:eastAsiaTheme="minorEastAsia"/>
              <w:sz w:val="24"/>
            </w:rPr>
          </w:r>
        </w:p>
        <w:p>
          <w:pPr>
            <w:pStyle w:val="1057"/>
            <w:pBdr/>
            <w:spacing/>
            <w:ind/>
            <w:rPr>
              <w:rFonts w:ascii="Times New Roman" w:hAnsi="Times New Roman" w:cs="Times New Roman" w:eastAsiaTheme="minorEastAsia"/>
              <w:sz w:val="24"/>
            </w:rPr>
          </w:pPr>
          <w:r/>
          <w:hyperlink w:tooltip="#_Toc142925871" w:anchor="_Toc142925871" w:history="1">
            <w:r>
              <w:rPr>
                <w:rStyle w:val="1050"/>
                <w:rFonts w:ascii="Times New Roman" w:hAnsi="Times New Roman" w:eastAsia="Arial Unicode MS" w:cs="Times New Roman"/>
                <w:color w:val="auto"/>
                <w:sz w:val="24"/>
                <w:lang w:bidi="hi-IN"/>
              </w:rPr>
              <w:t xml:space="preserve">9</w:t>
            </w:r>
            <w:r>
              <w:rPr>
                <w:rStyle w:val="1050"/>
                <w:rFonts w:ascii="Times New Roman" w:hAnsi="Times New Roman" w:eastAsia="Arial Unicode MS" w:cs="Times New Roman"/>
                <w:color w:val="auto"/>
                <w:sz w:val="24"/>
                <w:lang w:bidi="hi-IN"/>
              </w:rPr>
              <w:t xml:space="preserve">.</w:t>
            </w:r>
            <w:r>
              <w:rPr>
                <w:rFonts w:ascii="Times New Roman" w:hAnsi="Times New Roman" w:cs="Times New Roman" w:eastAsiaTheme="minorEastAsia"/>
                <w:sz w:val="24"/>
              </w:rPr>
              <w:tab/>
            </w:r>
            <w:r>
              <w:rPr>
                <w:rStyle w:val="1050"/>
                <w:rFonts w:ascii="Times New Roman" w:hAnsi="Times New Roman" w:eastAsia="Arial Unicode MS" w:cs="Times New Roman"/>
                <w:color w:val="auto"/>
                <w:sz w:val="24"/>
                <w:lang w:bidi="hi-IN"/>
              </w:rPr>
              <w:t xml:space="preserve">DAS DISPOSIÇÕES GERAIS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</w:rPr>
              <w:instrText xml:space="preserve"> PAGEREF _Toc142925871 \h </w:instrTex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</w:rPr>
              <w:t xml:space="preserve">16</w:t>
            </w:r>
            <w:r>
              <w:rPr>
                <w:rFonts w:ascii="Times New Roman" w:hAnsi="Times New Roman" w:cs="Times New Roman"/>
                <w:sz w:val="24"/>
              </w:rPr>
              <w:fldChar w:fldCharType="end"/>
            </w:r>
          </w:hyperlink>
          <w:r>
            <w:rPr>
              <w:rFonts w:ascii="Times New Roman" w:hAnsi="Times New Roman" w:cs="Times New Roman" w:eastAsiaTheme="minorEastAsia"/>
              <w:sz w:val="24"/>
            </w:rPr>
          </w:r>
          <w:r>
            <w:rPr>
              <w:rFonts w:ascii="Times New Roman" w:hAnsi="Times New Roman" w:cs="Times New Roman" w:eastAsiaTheme="minorEastAsia"/>
              <w:sz w:val="24"/>
            </w:rPr>
          </w:r>
        </w:p>
        <w:p>
          <w:pPr>
            <w:pBdr/>
            <w:spacing/>
            <w:ind/>
            <w:rPr>
              <w:rFonts w:ascii="Times New Roman" w:hAnsi="Times New Roman" w:cs="Times New Roman"/>
              <w:sz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</w:rPr>
            <w:fldChar w:fldCharType="end"/>
          </w:r>
          <w:r>
            <w:rPr>
              <w:rFonts w:ascii="Times New Roman" w:hAnsi="Times New Roman" w:cs="Times New Roman"/>
              <w:sz w:val="24"/>
            </w:rPr>
          </w:r>
          <w:r>
            <w:rPr>
              <w:rFonts w:ascii="Times New Roman" w:hAnsi="Times New Roman" w:cs="Times New Roman"/>
              <w:sz w:val="24"/>
            </w:rPr>
          </w:r>
        </w:p>
      </w:sdtContent>
    </w:sdt>
    <w:p>
      <w:pPr>
        <w:pBdr/>
        <w:spacing w:after="160" w:line="259" w:lineRule="auto"/>
        <w:ind/>
        <w:rPr>
          <w:rFonts w:ascii="Times New Roman" w:hAnsi="Times New Roman" w:cs="Times New Roman"/>
          <w:b/>
          <w:bCs/>
          <w:i/>
          <w:iCs/>
          <w:color w:val="ff0000"/>
          <w:sz w:val="24"/>
        </w:rPr>
      </w:pP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</w:r>
    </w:p>
    <w:p>
      <w:pPr>
        <w:pBdr/>
        <w:spacing w:after="160" w:line="259" w:lineRule="auto"/>
        <w:ind/>
        <w:rPr>
          <w:rFonts w:ascii="Times New Roman" w:hAnsi="Times New Roman" w:cs="Times New Roman"/>
          <w:b/>
          <w:bCs/>
          <w:i/>
          <w:iCs/>
          <w:color w:val="ff0000"/>
          <w:sz w:val="24"/>
        </w:rPr>
      </w:pP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  <w:br w:type="page" w:clear="all"/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</w:r>
    </w:p>
    <w:p>
      <w:pPr>
        <w:pStyle w:val="1063"/>
        <w:pBdr/>
        <w:spacing/>
        <w:ind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pt-BR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87037" cy="714510"/>
                <wp:effectExtent l="0" t="0" r="0" b="0"/>
                <wp:docPr id="2" name="Imagem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6"/>
                        <a:stretch/>
                      </pic:blipFill>
                      <pic:spPr bwMode="auto">
                        <a:xfrm>
                          <a:off x="0" y="0"/>
                          <a:ext cx="687037" cy="714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" o:spid="_x0000_s1" type="#_x0000_t75" style="width:54.10pt;height:56.26pt;mso-wrap-distance-left:0.00pt;mso-wrap-distance-top:0.00pt;mso-wrap-distance-right:0.00pt;mso-wrap-distance-bottom:0.00pt;z-index:1;" stroked="f">
                <v:imagedata r:id="rId16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1063"/>
        <w:pBdr/>
        <w:spacing w:after="0" w:before="0"/>
        <w:ind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MINISTÉRIO DA DEFESA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EXÉRCITO BRASILEIRO</w:t>
      </w:r>
      <w:r>
        <w:rPr>
          <w:rFonts w:ascii="Times New Roman" w:hAnsi="Times New Roman" w:cs="Times New Roman"/>
          <w:b/>
          <w:sz w:val="24"/>
        </w:rPr>
      </w:r>
      <w:r>
        <w:rPr>
          <w:rFonts w:ascii="Times New Roman" w:hAnsi="Times New Roman" w:cs="Times New Roman"/>
          <w:b/>
          <w:sz w:val="24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COLOG - BA AP LOG EX</w:t>
      </w:r>
      <w:r>
        <w:rPr>
          <w:rFonts w:ascii="Times New Roman" w:hAnsi="Times New Roman" w:cs="Times New Roman"/>
          <w:b/>
          <w:sz w:val="24"/>
        </w:rPr>
      </w:r>
      <w:r>
        <w:rPr>
          <w:rFonts w:ascii="Times New Roman" w:hAnsi="Times New Roman" w:cs="Times New Roman"/>
          <w:b/>
          <w:sz w:val="24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DEPÓSITO CENTRAL DE MUNIÇÃO</w:t>
      </w:r>
      <w:r>
        <w:rPr>
          <w:rFonts w:ascii="Times New Roman" w:hAnsi="Times New Roman" w:cs="Times New Roman"/>
          <w:b/>
          <w:sz w:val="24"/>
        </w:rPr>
      </w:r>
      <w:r>
        <w:rPr>
          <w:rFonts w:ascii="Times New Roman" w:hAnsi="Times New Roman" w:cs="Times New Roman"/>
          <w:b/>
          <w:sz w:val="24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</w:rPr>
        <w:t xml:space="preserve">(D C M B / 1918)</w:t>
      </w:r>
      <w:r>
        <w:rPr>
          <w:rFonts w:ascii="Times New Roman" w:hAnsi="Times New Roman" w:cs="Times New Roman"/>
          <w:b/>
          <w:bCs/>
          <w:sz w:val="24"/>
        </w:rPr>
      </w:r>
      <w:r>
        <w:rPr>
          <w:rFonts w:ascii="Times New Roman" w:hAnsi="Times New Roman" w:cs="Times New Roman"/>
          <w:b/>
          <w:bCs/>
          <w:sz w:val="24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</w:r>
      <w:r>
        <w:rPr>
          <w:rFonts w:ascii="Times New Roman" w:hAnsi="Times New Roman" w:cs="Times New Roman"/>
          <w:b/>
          <w:bCs/>
          <w:sz w:val="24"/>
        </w:rPr>
      </w:r>
      <w:r>
        <w:rPr>
          <w:rFonts w:ascii="Times New Roman" w:hAnsi="Times New Roman" w:cs="Times New Roman"/>
          <w:b/>
          <w:bCs/>
          <w:sz w:val="24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color w:val="5b5b5f"/>
          <w:sz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AVISO DE CONTRATAÇÃO DIRETA   Nº 90</w:t>
      </w:r>
      <w:r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004/2024</w:t>
      </w:r>
      <w:r>
        <w:rPr>
          <w:rFonts w:ascii="Times New Roman" w:hAnsi="Times New Roman" w:cs="Times New Roman"/>
          <w:b/>
          <w:bCs/>
          <w:color w:val="5b5b5f"/>
          <w:sz w:val="24"/>
        </w:rPr>
      </w:r>
      <w:r>
        <w:rPr>
          <w:rFonts w:ascii="Times New Roman" w:hAnsi="Times New Roman" w:cs="Times New Roman"/>
          <w:b/>
          <w:bCs/>
          <w:color w:val="5b5b5f"/>
          <w:sz w:val="24"/>
        </w:rPr>
      </w:r>
    </w:p>
    <w:p>
      <w:pPr>
        <w:pBdr/>
        <w:spacing w:line="276" w:lineRule="auto"/>
        <w:ind/>
        <w:jc w:val="center"/>
        <w:rPr>
          <w:rFonts w:ascii="Times New Roman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</w:rPr>
      </w:r>
    </w:p>
    <w:p>
      <w:pPr>
        <w:pBdr/>
        <w:spacing w:after="120" w:line="276" w:lineRule="auto"/>
        <w:ind w:right="-15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(Processo Administrativo </w:t>
      </w:r>
      <w:r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n.°</w:t>
      </w:r>
      <w:r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 64449.002847/2024-28</w:t>
      </w:r>
      <w:r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)</w:t>
      </w:r>
      <w:r>
        <w:rPr>
          <w:rFonts w:ascii="Times New Roman" w:hAnsi="Times New Roman" w:cs="Times New Roman"/>
          <w:b/>
          <w:bCs/>
          <w:color w:val="000000"/>
          <w:sz w:val="24"/>
        </w:rPr>
      </w:r>
      <w:r>
        <w:rPr>
          <w:rFonts w:ascii="Times New Roman" w:hAnsi="Times New Roman" w:cs="Times New Roman"/>
          <w:b/>
          <w:bCs/>
          <w:color w:val="000000"/>
          <w:sz w:val="24"/>
        </w:rPr>
      </w:r>
    </w:p>
    <w:p>
      <w:pPr>
        <w:pBdr/>
        <w:spacing/>
        <w:ind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pBdr/>
        <w:spacing w:after="120" w:line="276" w:lineRule="auto"/>
        <w:ind w:right="-30" w:firstLine="540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Torna-se público que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a União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, por meio do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Depósito Central de Munição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, realizará Dispensa Eletrônica, </w:t>
      </w:r>
      <w:r>
        <w:rPr>
          <w:rFonts w:ascii="Times New Roman" w:hAnsi="Times New Roman" w:cs="Times New Roman"/>
          <w:bCs/>
          <w:color w:val="000000" w:themeColor="text1"/>
          <w:sz w:val="24"/>
        </w:rPr>
        <w:t xml:space="preserve">com critério de julgamento</w:t>
      </w:r>
      <w:r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menor preço</w:t>
      </w:r>
      <w:r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na hipótese do </w:t>
      </w:r>
      <w:hyperlink r:id="rId17" w:tooltip="http://www.planalto.gov.br/ccivil_03/_ato2019-2022/2021/lei/L14133.htm#art75" w:anchor="art75" w:history="1">
        <w:r>
          <w:rPr>
            <w:rStyle w:val="1050"/>
            <w:rFonts w:ascii="Times New Roman" w:hAnsi="Times New Roman" w:cs="Times New Roman"/>
            <w:color w:val="000000" w:themeColor="text1"/>
            <w:sz w:val="24"/>
          </w:rPr>
          <w:t xml:space="preserve">art. 75</w:t>
        </w:r>
      </w:hyperlink>
      <w:r>
        <w:rPr>
          <w:rFonts w:ascii="Times New Roman" w:hAnsi="Times New Roman" w:cs="Times New Roman"/>
          <w:color w:val="000000" w:themeColor="text1"/>
          <w:sz w:val="24"/>
        </w:rPr>
        <w:t xml:space="preserve">, inciso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II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, </w:t>
      </w:r>
      <w:r>
        <w:rPr>
          <w:rFonts w:ascii="Times New Roman" w:hAnsi="Times New Roman" w:cs="Times New Roman"/>
          <w:bCs/>
          <w:color w:val="000000" w:themeColor="text1"/>
          <w:sz w:val="24"/>
        </w:rPr>
        <w:t xml:space="preserve">nos termos da </w:t>
      </w:r>
      <w:hyperlink r:id="rId18" w:tooltip="http://www.planalto.gov.br/ccivil_03/_ato2019-2022/2021/lei/L14133.htm" w:history="1">
        <w:r>
          <w:rPr>
            <w:rStyle w:val="1050"/>
            <w:rFonts w:ascii="Times New Roman" w:hAnsi="Times New Roman" w:cs="Times New Roman"/>
            <w:bCs/>
            <w:color w:val="000000" w:themeColor="text1"/>
            <w:sz w:val="24"/>
          </w:rPr>
          <w:t xml:space="preserve">Lei n.º 14.133, de 1º de abril de 2021</w:t>
        </w:r>
      </w:hyperlink>
      <w:r>
        <w:rPr>
          <w:rFonts w:ascii="Times New Roman" w:hAnsi="Times New Roman" w:cs="Times New Roman"/>
          <w:bCs/>
          <w:color w:val="000000" w:themeColor="text1"/>
          <w:sz w:val="24"/>
        </w:rPr>
        <w:t xml:space="preserve">, da </w:t>
      </w:r>
      <w:hyperlink r:id="rId19" w:tooltip="https://www.gov.br/compras/pt-br/acesso-a-informacao/legislacao/instrucoes-normativas/instrucao-normativa-seges-me-no-67-de-8-de-julho-de-2021" w:history="1">
        <w:r>
          <w:rPr>
            <w:rStyle w:val="1050"/>
            <w:rFonts w:ascii="Times New Roman" w:hAnsi="Times New Roman" w:cs="Times New Roman"/>
            <w:bCs/>
            <w:color w:val="000000" w:themeColor="text1"/>
            <w:sz w:val="24"/>
          </w:rPr>
          <w:t xml:space="preserve">Instrução Normativa Seges/ME</w:t>
        </w:r>
        <w:r>
          <w:rPr>
            <w:rStyle w:val="1050"/>
            <w:rFonts w:ascii="Times New Roman" w:hAnsi="Times New Roman" w:cs="Times New Roman"/>
            <w:bCs/>
            <w:color w:val="000000" w:themeColor="text1"/>
            <w:sz w:val="24"/>
          </w:rPr>
          <w:t xml:space="preserve"> </w:t>
        </w:r>
        <w:r>
          <w:rPr>
            <w:rStyle w:val="1050"/>
            <w:rFonts w:ascii="Times New Roman" w:hAnsi="Times New Roman" w:cs="Times New Roman"/>
            <w:bCs/>
            <w:color w:val="000000" w:themeColor="text1"/>
            <w:sz w:val="24"/>
          </w:rPr>
          <w:t xml:space="preserve">nº 67, de 2021</w:t>
        </w:r>
      </w:hyperlink>
      <w:r>
        <w:rPr>
          <w:rFonts w:ascii="Times New Roman" w:hAnsi="Times New Roman" w:cs="Times New Roman"/>
          <w:bCs/>
          <w:color w:val="000000" w:themeColor="text1"/>
          <w:sz w:val="24"/>
        </w:rPr>
        <w:t xml:space="preserve">, </w:t>
      </w:r>
      <w:r>
        <w:rPr>
          <w:rFonts w:ascii="Times New Roman" w:hAnsi="Times New Roman" w:cs="Times New Roman"/>
          <w:bCs/>
          <w:color w:val="000000" w:themeColor="text1"/>
          <w:sz w:val="24"/>
        </w:rPr>
        <w:t xml:space="preserve">do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Decreto nº 11.462, de 31 de março de 20</w:t>
      </w:r>
      <w:r>
        <w:rPr>
          <w:rFonts w:ascii="Times New Roman" w:hAnsi="Times New Roman" w:cs="Times New Roman"/>
          <w:color w:val="000000" w:themeColor="text1"/>
          <w:sz w:val="24"/>
          <w:highlight w:val="white"/>
        </w:rPr>
        <w:t xml:space="preserve">23</w:t>
      </w:r>
      <w:r>
        <w:rPr>
          <w:rFonts w:ascii="Times New Roman" w:hAnsi="Times New Roman" w:cs="Times New Roman"/>
          <w:color w:val="000000" w:themeColor="text1"/>
          <w:sz w:val="24"/>
          <w:highlight w:val="white"/>
        </w:rPr>
        <w:t xml:space="preserve">,</w:t>
      </w:r>
      <w:r>
        <w:rPr>
          <w:rFonts w:ascii="Times New Roman" w:hAnsi="Times New Roman" w:cs="Times New Roman"/>
          <w:color w:val="000000" w:themeColor="text1"/>
          <w:sz w:val="24"/>
          <w:highlight w:val="white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4"/>
          <w:highlight w:val="white"/>
        </w:rPr>
        <w:t xml:space="preserve">e</w:t>
      </w:r>
      <w:r>
        <w:rPr>
          <w:rFonts w:ascii="Times New Roman" w:hAnsi="Times New Roman" w:cs="Times New Roman"/>
          <w:bCs/>
          <w:color w:val="000000" w:themeColor="text1"/>
          <w:sz w:val="24"/>
        </w:rPr>
        <w:t xml:space="preserve"> demais normas aplicáveis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pBdr/>
        <w:spacing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pBdr/>
        <w:spacing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pBdr/>
        <w:spacing w:line="276" w:lineRule="auto"/>
        <w:ind/>
        <w:jc w:val="both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Data da sessão:</w:t>
      </w:r>
      <w:r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</w:rPr>
        <w:t xml:space="preserve">12/06/2024</w:t>
      </w:r>
      <w:r>
        <w:rPr>
          <w:rFonts w:ascii="Times New Roman" w:hAnsi="Times New Roman" w:cs="Times New Roman"/>
          <w:b/>
          <w:bCs/>
          <w:sz w:val="24"/>
        </w:rPr>
      </w:r>
      <w:r>
        <w:rPr>
          <w:rFonts w:ascii="Times New Roman" w:hAnsi="Times New Roman" w:cs="Times New Roman"/>
          <w:b/>
          <w:bCs/>
          <w:sz w:val="24"/>
        </w:rPr>
      </w:r>
    </w:p>
    <w:p>
      <w:pPr>
        <w:pBdr/>
        <w:spacing/>
        <w:ind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Horário da Fase de Lances: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08:00</w:t>
      </w:r>
      <w:r>
        <w:rPr>
          <w:rFonts w:ascii="Times New Roman" w:hAnsi="Times New Roman" w:cs="Times New Roman"/>
          <w:i/>
          <w:iCs/>
          <w:color w:val="ff0000"/>
          <w:sz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às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14:00</w:t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pBdr/>
        <w:spacing w:line="276" w:lineRule="auto"/>
        <w:ind w:right="-15"/>
        <w:jc w:val="both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Critério de Julgamento: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menor preço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por item</w:t>
      </w:r>
      <w:r>
        <w:rPr>
          <w:rFonts w:ascii="Times New Roman" w:hAnsi="Times New Roman" w:cs="Times New Roman"/>
          <w:color w:val="ff0000"/>
          <w:sz w:val="24"/>
        </w:rPr>
      </w:r>
      <w:r>
        <w:rPr>
          <w:rFonts w:ascii="Times New Roman" w:hAnsi="Times New Roman" w:cs="Times New Roman"/>
          <w:color w:val="ff0000"/>
          <w:sz w:val="24"/>
        </w:rPr>
      </w:r>
    </w:p>
    <w:p>
      <w:pPr>
        <w:pBdr/>
        <w:spacing w:line="276" w:lineRule="auto"/>
        <w:ind w:right="-15"/>
        <w:jc w:val="both"/>
        <w:rPr>
          <w:rFonts w:ascii="Times New Roman" w:hAnsi="Times New Roman" w:cs="Times New Roman"/>
          <w:i/>
          <w:iCs/>
          <w:color w:val="ff0000"/>
          <w:sz w:val="24"/>
        </w:rPr>
      </w:pPr>
      <w:r>
        <w:rPr>
          <w:rFonts w:ascii="Times New Roman" w:hAnsi="Times New Roman" w:cs="Times New Roman"/>
          <w:i/>
          <w:iCs/>
          <w:color w:val="ff0000"/>
          <w:sz w:val="24"/>
        </w:rPr>
      </w:r>
      <w:r>
        <w:rPr>
          <w:rFonts w:ascii="Times New Roman" w:hAnsi="Times New Roman" w:cs="Times New Roman"/>
          <w:i/>
          <w:iCs/>
          <w:color w:val="ff0000"/>
          <w:sz w:val="24"/>
        </w:rPr>
      </w:r>
      <w:r>
        <w:rPr>
          <w:rFonts w:ascii="Times New Roman" w:hAnsi="Times New Roman" w:cs="Times New Roman"/>
          <w:i/>
          <w:iCs/>
          <w:color w:val="ff0000"/>
          <w:sz w:val="24"/>
        </w:rPr>
      </w:r>
    </w:p>
    <w:p>
      <w:pPr>
        <w:pBdr/>
        <w:spacing w:line="276" w:lineRule="auto"/>
        <w:ind w:right="-15"/>
        <w:jc w:val="both"/>
        <w:rPr>
          <w:rFonts w:ascii="Times New Roman" w:hAnsi="Times New Roman" w:cs="Times New Roman"/>
          <w:b/>
          <w:bCs/>
          <w:i/>
          <w:iCs/>
          <w:color w:val="ff0000"/>
          <w:sz w:val="24"/>
        </w:rPr>
      </w:pP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</w:rPr>
      </w:r>
    </w:p>
    <w:p>
      <w:pPr>
        <w:pBdr/>
        <w:spacing/>
        <w:ind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pStyle w:val="996"/>
        <w:pBdr/>
        <w:spacing/>
        <w:ind/>
        <w:rPr>
          <w:rFonts w:ascii="Times New Roman" w:hAnsi="Times New Roman" w:cs="Times New Roman"/>
          <w:sz w:val="24"/>
        </w:rPr>
      </w:pPr>
      <w:r/>
      <w:bookmarkStart w:id="4" w:name="_Toc142925860"/>
      <w:r>
        <w:rPr>
          <w:rFonts w:ascii="Times New Roman" w:hAnsi="Times New Roman" w:cs="Times New Roman"/>
          <w:sz w:val="24"/>
        </w:rPr>
        <w:t xml:space="preserve">OBJETO DA CONTRATAÇÃO DIRETA</w:t>
      </w:r>
      <w:bookmarkEnd w:id="4"/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pBdr/>
        <w:tabs>
          <w:tab w:val="left" w:leader="none" w:pos="5890"/>
        </w:tabs>
        <w:spacing/>
        <w: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1.1. O objeto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do presente procedimento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é a escolha da proposta mais vantajosa para aquisição de MÁQUINA DE FUSÃO DE FIBRA ÓPTICA </w:t>
      </w:r>
      <w:r>
        <w:rPr>
          <w:rFonts w:ascii="Times New Roman" w:hAnsi="Times New Roman" w:cs="Times New Roman"/>
          <w:sz w:val="24"/>
          <w:szCs w:val="24"/>
        </w:rPr>
        <w:t xml:space="preserve">para a Seção de Informática do Depósito  Central de Munição</w:t>
      </w:r>
      <w:r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,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conforme condições, quantidades e exigências estabelecidas neste Aviso de Contratação Direta e seus anexos.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pStyle w:val="1025"/>
        <w:keepNext w:val="false"/>
        <w:widowControl w:val="true"/>
        <w:pBdr/>
        <w:shd w:val="clear" w:color="auto" w:fill="auto"/>
        <w:spacing w:after="120" w:before="120"/>
        <w:ind w:right="0" w:firstLine="0" w:left="0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sz w:val="24"/>
        </w:rPr>
        <w:t xml:space="preserve">1.2. O critério de julgamento adotado será o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menor preço</w:t>
      </w:r>
      <w:r>
        <w:rPr>
          <w:rFonts w:ascii="Times New Roman" w:hAnsi="Times New Roman" w:cs="Times New Roman"/>
          <w:i/>
          <w:iCs/>
          <w:color w:val="000000" w:themeColor="text1"/>
          <w:sz w:val="24"/>
        </w:rPr>
        <w:t xml:space="preserve">,</w:t>
      </w:r>
      <w:r>
        <w:rPr>
          <w:rFonts w:ascii="Times New Roman" w:hAnsi="Times New Roman" w:cs="Times New Roman"/>
          <w:color w:val="ff000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observadas as exigências contidas neste Aviso de Contratação Direta e seus Anexos quanto às especificações do objeto.</w:t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pBdr/>
        <w:spacing w:after="160" w:line="259" w:lineRule="auto"/>
        <w:ind/>
        <w:rPr>
          <w:rFonts w:ascii="Times New Roman" w:hAnsi="Times New Roman" w:eastAsia="WenQuanYi Micro Hei" w:cs="Times New Roman"/>
          <w:b/>
          <w:sz w:val="24"/>
          <w:lang w:eastAsia="zh-CN" w:bidi="hi-IN"/>
        </w:rPr>
      </w:pPr>
      <w:r>
        <w:rPr>
          <w:rFonts w:ascii="Times New Roman" w:hAnsi="Times New Roman" w:eastAsia="WenQuanYi Micro Hei" w:cs="Times New Roman"/>
          <w:b/>
          <w:sz w:val="24"/>
          <w:lang w:eastAsia="zh-CN" w:bidi="hi-IN"/>
        </w:rPr>
      </w:r>
      <w:r>
        <w:rPr>
          <w:rFonts w:ascii="Times New Roman" w:hAnsi="Times New Roman" w:eastAsia="WenQuanYi Micro Hei" w:cs="Times New Roman"/>
          <w:b/>
          <w:sz w:val="24"/>
          <w:lang w:eastAsia="zh-CN" w:bidi="hi-IN"/>
        </w:rPr>
      </w:r>
      <w:r>
        <w:rPr>
          <w:rFonts w:ascii="Times New Roman" w:hAnsi="Times New Roman" w:eastAsia="WenQuanYi Micro Hei" w:cs="Times New Roman"/>
          <w:b/>
          <w:sz w:val="24"/>
          <w:lang w:eastAsia="zh-CN" w:bidi="hi-IN"/>
        </w:rPr>
      </w:r>
    </w:p>
    <w:p>
      <w:pPr>
        <w:pStyle w:val="996"/>
        <w:pBdr/>
        <w:spacing/>
        <w:ind/>
        <w:rPr>
          <w:rFonts w:ascii="Times New Roman" w:hAnsi="Times New Roman" w:cs="Times New Roman"/>
          <w:sz w:val="24"/>
        </w:rPr>
      </w:pPr>
      <w:r/>
      <w:bookmarkStart w:id="5" w:name="_Toc142925862"/>
      <w:r>
        <w:rPr>
          <w:rFonts w:ascii="Times New Roman" w:hAnsi="Times New Roman" w:cs="Times New Roman"/>
          <w:sz w:val="24"/>
        </w:rPr>
        <w:t xml:space="preserve">PARTICIPAÇÃO NA DISPENSA ELETRÔNICA.</w:t>
      </w:r>
      <w:bookmarkEnd w:id="5"/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participação</w:t>
      </w:r>
      <w:r>
        <w:rPr>
          <w:rFonts w:ascii="Times New Roman" w:hAnsi="Times New Roman" w:cs="Times New Roman"/>
          <w:sz w:val="24"/>
        </w:rPr>
        <w:t xml:space="preserve"> na presente dispensa eletrônica ocorrerá por meio do </w:t>
      </w:r>
      <w:r>
        <w:rPr>
          <w:rFonts w:ascii="Times New Roman" w:hAnsi="Times New Roman" w:cs="Times New Roman"/>
          <w:bCs/>
          <w:sz w:val="24"/>
        </w:rPr>
        <w:t xml:space="preserve">Sistema de Dispensa Eletrônica, ferramenta informatizada</w:t>
      </w:r>
      <w:r>
        <w:rPr>
          <w:rFonts w:ascii="Times New Roman" w:hAnsi="Times New Roman" w:cs="Times New Roman"/>
          <w:sz w:val="24"/>
        </w:rPr>
        <w:t xml:space="preserve"> integrante do Sistema de Compras do Governo Federal – Compras.gov.br, disponível no </w:t>
      </w:r>
      <w:r>
        <w:rPr>
          <w:rFonts w:ascii="Times New Roman" w:hAnsi="Times New Roman" w:cs="Times New Roman"/>
          <w:bCs/>
          <w:sz w:val="24"/>
        </w:rPr>
        <w:t xml:space="preserve">Portal de Compras do Governo Federal, no endereço eletrônico </w:t>
      </w:r>
      <w:hyperlink r:id="rId20" w:tooltip="http://www.gov.br/compras" w:history="1">
        <w:r>
          <w:rPr>
            <w:rStyle w:val="1050"/>
            <w:rFonts w:ascii="Times New Roman" w:hAnsi="Times New Roman" w:cs="Times New Roman"/>
            <w:bCs/>
            <w:sz w:val="24"/>
          </w:rPr>
          <w:t xml:space="preserve">www.gov.br/compras</w:t>
        </w:r>
      </w:hyperlink>
      <w:r>
        <w:rPr>
          <w:rFonts w:ascii="Times New Roman" w:hAnsi="Times New Roman" w:cs="Times New Roman"/>
          <w:bCs/>
          <w:sz w:val="24"/>
        </w:rPr>
        <w:t xml:space="preserve">.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O procedimento será divulgado no Compras.gov.br e no </w:t>
      </w:r>
      <w:hyperlink r:id="rId21" w:tooltip="http://www.pncp.gov.br" w:history="1">
        <w:r>
          <w:rPr>
            <w:rStyle w:val="1050"/>
            <w:rFonts w:ascii="Times New Roman" w:hAnsi="Times New Roman" w:cs="Times New Roman"/>
            <w:sz w:val="24"/>
          </w:rPr>
          <w:t xml:space="preserve">Portal Nacional de Contratações Públicas - PNCP</w:t>
        </w:r>
      </w:hyperlink>
      <w:r>
        <w:rPr>
          <w:rFonts w:ascii="Times New Roman" w:hAnsi="Times New Roman" w:cs="Times New Roman"/>
          <w:sz w:val="24"/>
        </w:rPr>
        <w:t xml:space="preserve">, e encaminhado automaticamente aos fornecedores registrados no Sistema de Registro Cadastral Unificado - </w:t>
      </w:r>
      <w:r>
        <w:rPr>
          <w:rFonts w:ascii="Times New Roman" w:hAnsi="Times New Roman" w:cs="Times New Roman"/>
          <w:sz w:val="24"/>
        </w:rPr>
        <w:t xml:space="preserve">Sicaf</w:t>
      </w:r>
      <w:r>
        <w:rPr>
          <w:rFonts w:ascii="Times New Roman" w:hAnsi="Times New Roman" w:cs="Times New Roman"/>
          <w:sz w:val="24"/>
        </w:rPr>
        <w:t xml:space="preserve">, por mensagem eletrônica, na correspondente linha de fornecimento que pretende atender.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O Compras.gov.br poderá ser acessado pela web ou pelo </w:t>
      </w:r>
      <w:hyperlink r:id="rId22" w:tooltip="https://www.gov.br/compras/pt-br/sistemas/conheca-o-compras/aplicativo-compras" w:history="1">
        <w:r>
          <w:rPr>
            <w:rStyle w:val="1050"/>
            <w:rFonts w:ascii="Times New Roman" w:hAnsi="Times New Roman" w:cs="Times New Roman"/>
            <w:sz w:val="24"/>
          </w:rPr>
          <w:t xml:space="preserve">aplicativo Compras.gov.br</w:t>
        </w:r>
        <w:r>
          <w:rPr>
            <w:rStyle w:val="1050"/>
            <w:rFonts w:ascii="Times New Roman" w:hAnsi="Times New Roman" w:cs="Times New Roman"/>
            <w:sz w:val="24"/>
          </w:rPr>
          <w:t xml:space="preserve">.</w:t>
        </w:r>
      </w:hyperlink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O fornecedor é o responsável por qualquer transação efetuada diretamente ou</w:t>
      </w:r>
      <w:r>
        <w:rPr>
          <w:rFonts w:ascii="Times New Roman" w:hAnsi="Times New Roman" w:cs="Times New Roman"/>
          <w:sz w:val="24"/>
        </w:rPr>
        <w:t xml:space="preserve"> por seu representante no Sistema de Dispensa Eletrônica, não cabendo ao provedor do Sistema ou ao órgão entidade promotor do procedimento a responsabilidade por eventuais danos decorrentes de uso indevido da senha, ainda que por terceiros não autorizados.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Para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todos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os itens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,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a participação é exclusiva a microempresas e empresas de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pequeno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porte, nos termos do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art. 49, inciso IV, c/c o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art. 48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, inciso I,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da Lei Complementar nº 123, de 14 de dezembro de 2006.</w:t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A obtenção do benefício a que se refere o item anterior fica limitada às microempresas e às empresas de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pequeno porte que, no ano-calendário de realização do procedimento, ainda não tenham celebrado contratos com a Administração Pública cujos valores somados extrapolem a receita bruta máxima admitida para fins de enquadramento como empresa de pequeno porte.</w:t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Será concedido tratamento favorecido para as microempresas e empresas de pequeno porte, para as sociedades coo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perativas mencionadas no artigo 16 da Lei nº 14.133, de 2021, para o agricultor familiar, o produtor rural pessoa física e para o microempreendedor individual - MEI, nos limites previstos da Lei Complementar nº 123, de 2006 e do Decreto n.º 8.538, de 2015.</w:t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4"/>
          <w:szCs w:val="4"/>
        </w:rPr>
      </w:pPr>
      <w:r>
        <w:rPr>
          <w:rFonts w:ascii="Times New Roman" w:hAnsi="Times New Roman" w:cs="Times New Roman"/>
          <w:color w:val="000000" w:themeColor="text1"/>
          <w:sz w:val="4"/>
          <w:szCs w:val="4"/>
        </w:rPr>
      </w:r>
      <w:r>
        <w:rPr>
          <w:rFonts w:ascii="Times New Roman" w:hAnsi="Times New Roman" w:cs="Times New Roman"/>
          <w:color w:val="000000" w:themeColor="text1"/>
          <w:sz w:val="4"/>
          <w:szCs w:val="4"/>
        </w:rPr>
      </w:r>
      <w:r>
        <w:rPr>
          <w:rFonts w:ascii="Times New Roman" w:hAnsi="Times New Roman" w:cs="Times New Roman"/>
          <w:color w:val="000000" w:themeColor="text1"/>
          <w:sz w:val="4"/>
          <w:szCs w:val="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color w:val="000000" w:themeColor="text1"/>
          <w:sz w:val="24"/>
        </w:rPr>
      </w:pPr>
      <w:r/>
      <w:bookmarkStart w:id="7" w:name="_Ref144286315"/>
      <w:r>
        <w:rPr>
          <w:rFonts w:ascii="Times New Roman" w:hAnsi="Times New Roman" w:cs="Times New Roman"/>
          <w:color w:val="000000" w:themeColor="text1"/>
          <w:sz w:val="24"/>
        </w:rPr>
        <w:t xml:space="preserve">Não poderão participar desta dispensa de licitação os fornecedores:</w:t>
      </w:r>
      <w:bookmarkEnd w:id="7"/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que não atendam às condições deste Aviso de Contratação Direta e seu(s) anexo(s);</w:t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estrangeiros que não tenham representação legal no Brasil com poderes expressos para receber citação e responder administrativa ou judicialmente;</w:t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que se enquadrem nas seguintes vedações:</w:t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numPr>
          <w:ilvl w:val="3"/>
          <w:numId w:val="4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autor do anteprojeto, do projeto básico ou do projeto executivo, pessoa física ou jurídica, quando a contratação versar sobre obra, serviços ou fornecimento de bens a ele relacionados;</w:t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numPr>
          <w:ilvl w:val="3"/>
          <w:numId w:val="4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empresa, isoladamente ou em consórcio, responsável pela elaboração do projeto básico ou do projeto executivo, ou empresa da qual o autor do proj</w:t>
      </w:r>
      <w:r>
        <w:rPr>
          <w:rFonts w:ascii="Times New Roman" w:hAnsi="Times New Roman" w:cs="Times New Roman"/>
          <w:color w:val="000000"/>
          <w:sz w:val="24"/>
        </w:rPr>
        <w:t xml:space="preserve">eto seja dirigente, gerente, controlador, acionista ou detentor de mais de 5% (cinco por cento) do capital com direito a voto, responsável técnico ou subcontratado, quando a contratação versar sobre obra, serviços ou fornecimento de bens a ela necessários;</w:t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numPr>
          <w:ilvl w:val="3"/>
          <w:numId w:val="4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pessoa física ou jurídica que se encontre, ao tempo da contratação, impossibilitada de contratar em decorrência de sanção que lhe foi imposta;</w:t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numPr>
          <w:ilvl w:val="3"/>
          <w:numId w:val="4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aquele que mantenha vínculo de natureza técnica, comercial, econômica, financeira, trabalhista ou civil com dirigente do órgão ou entidade contratante ou com agente público que desempenhe função na</w:t>
      </w:r>
      <w:r>
        <w:rPr>
          <w:rFonts w:ascii="Times New Roman" w:hAnsi="Times New Roman" w:cs="Times New Roman"/>
          <w:color w:val="000000"/>
          <w:sz w:val="24"/>
        </w:rPr>
        <w:t xml:space="preserve"> dispensa de</w:t>
      </w:r>
      <w:r>
        <w:rPr>
          <w:rFonts w:ascii="Times New Roman" w:hAnsi="Times New Roman" w:cs="Times New Roman"/>
          <w:color w:val="000000"/>
          <w:sz w:val="24"/>
        </w:rPr>
        <w:t xml:space="preserve"> licitação ou atue na fiscalização ou na gestão do contrato, ou que deles seja cônjuge, companheiro ou parente em linha reta, colateral ou por afinidade, até o terceiro grau;</w:t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numPr>
          <w:ilvl w:val="3"/>
          <w:numId w:val="4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empresas controladoras, controladas ou coligadas, nos termos da </w:t>
      </w:r>
      <w:hyperlink r:id="rId23" w:tooltip="http://www.planalto.gov.br/ccivil_03/LEIS/L6404consol.htm" w:history="1">
        <w:r>
          <w:rPr>
            <w:rStyle w:val="1008"/>
            <w:rFonts w:ascii="Times New Roman" w:hAnsi="Times New Roman" w:eastAsia="Calibri" w:cs="Times New Roman"/>
            <w:sz w:val="24"/>
          </w:rPr>
          <w:t xml:space="preserve">Lei nº 6.404, de 15 de dezembro de 1976</w:t>
        </w:r>
      </w:hyperlink>
      <w:r>
        <w:rPr>
          <w:rFonts w:ascii="Times New Roman" w:hAnsi="Times New Roman" w:cs="Times New Roman"/>
          <w:color w:val="000000"/>
          <w:sz w:val="24"/>
        </w:rPr>
        <w:t xml:space="preserve">, concorrendo entre si;</w:t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numPr>
          <w:ilvl w:val="3"/>
          <w:numId w:val="4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pessoa física ou jurídica que, nos 5 (cinco) anos anteriores à divulgação</w:t>
      </w:r>
      <w:r>
        <w:rPr>
          <w:rFonts w:ascii="Times New Roman" w:hAnsi="Times New Roman" w:cs="Times New Roman"/>
          <w:color w:val="000000"/>
          <w:sz w:val="24"/>
        </w:rPr>
        <w:t xml:space="preserve"> do aviso, tenha sido condenada judicialmente, com trânsito em julgado, por exploração de trabalho infantil, por submissão de trabalhadores a condições análogas às de escravo ou por contratação de adolescentes nos casos vedados pela legislação trabalhista.</w:t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numPr>
          <w:ilvl w:val="3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Equiparam-se aos autores do projeto as empresas integrantes do mesmo grupo econômico;</w:t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numPr>
          <w:ilvl w:val="3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 O disposto na alínea “c” aplica-se também ao fornecedor que atue em substituição a outra p</w:t>
      </w:r>
      <w:r>
        <w:rPr>
          <w:rFonts w:ascii="Times New Roman" w:hAnsi="Times New Roman" w:cs="Times New Roman"/>
          <w:color w:val="000000"/>
          <w:sz w:val="24"/>
        </w:rPr>
        <w:t xml:space="preserve">essoa, física ou jurídica, com o intuito de burlar a efetividade da sanção a ela aplicada, inclusive a sua controladora, controlada ou coligada, desde que devidamente comprovado o ilícito ou a utilização fraudulenta da personalidade jurídica do fornecedor;</w:t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organizações da Sociedade Civil de Interesse Público - OSCIP, atuando nessa condição (Acórdão nº 746/2014-TCU-Plenário);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e</w:t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Será permitida a participação de cooperativas, desde que apresentem demonstrativo de atuação em regime cooperado, com repartição de receitas e despesas entre os cooperados e atendam ao </w:t>
      </w:r>
      <w:r>
        <w:rPr>
          <w:rFonts w:ascii="Times New Roman" w:hAnsi="Times New Roman" w:cs="Times New Roman"/>
          <w:color w:val="000000" w:themeColor="text1"/>
          <w:sz w:val="24"/>
        </w:rPr>
        <w:fldChar w:fldCharType="begin"/>
      </w:r>
      <w:r>
        <w:rPr>
          <w:rFonts w:ascii="Times New Roman" w:hAnsi="Times New Roman" w:cs="Times New Roman"/>
          <w:color w:val="000000" w:themeColor="text1"/>
          <w:sz w:val="24"/>
        </w:rPr>
        <w:instrText xml:space="preserve"> HYPERLINK "http://www.planalto.gov.br/ccivil_03/_ato2019-2022/2021/lei/L14133.htm" \l "art16" </w:instrText>
      </w:r>
      <w:r>
        <w:rPr>
          <w:rFonts w:ascii="Times New Roman" w:hAnsi="Times New Roman" w:cs="Times New Roman"/>
          <w:color w:val="000000" w:themeColor="text1"/>
          <w:sz w:val="24"/>
        </w:rPr>
        <w:fldChar w:fldCharType="separate"/>
      </w:r>
      <w:r>
        <w:rPr>
          <w:rStyle w:val="1050"/>
          <w:rFonts w:ascii="Times New Roman" w:hAnsi="Times New Roman" w:cs="Times New Roman"/>
          <w:color w:val="000000" w:themeColor="text1"/>
          <w:sz w:val="24"/>
        </w:rPr>
        <w:t xml:space="preserve">art. 16 da Lei nº 14.133, de 2021</w:t>
      </w:r>
      <w:r>
        <w:rPr>
          <w:rStyle w:val="1050"/>
          <w:rFonts w:ascii="Times New Roman" w:hAnsi="Times New Roman" w:cs="Times New Roman"/>
          <w:color w:val="000000" w:themeColor="text1"/>
          <w:sz w:val="24"/>
        </w:rPr>
        <w:fldChar w:fldCharType="end"/>
      </w:r>
      <w:r>
        <w:rPr>
          <w:rFonts w:ascii="Times New Roman" w:hAnsi="Times New Roman" w:cs="Times New Roman"/>
          <w:color w:val="000000" w:themeColor="text1"/>
          <w:sz w:val="24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Em sendo permitida a participação de cooperativas, serão estendidas a elas os benefícios previstos para as microempresas e empresas de pequeno porte quando elas atenderem ao disposto </w:t>
      </w:r>
      <w:hyperlink r:id="rId24" w:tooltip="https://www.planalto.gov.br/ccivil_03/_ato2007-2010/2007/lei/l11488.htm#art34" w:anchor="art34" w:history="1">
        <w:r>
          <w:rPr>
            <w:rStyle w:val="1050"/>
            <w:rFonts w:ascii="Times New Roman" w:hAnsi="Times New Roman" w:cs="Times New Roman"/>
            <w:color w:val="000000" w:themeColor="text1"/>
            <w:sz w:val="24"/>
          </w:rPr>
          <w:t xml:space="preserve">no art. 34 da Lei n.º 11.488, de 15 de junho de 2007</w:t>
        </w:r>
      </w:hyperlink>
      <w:r>
        <w:rPr>
          <w:rFonts w:ascii="Times New Roman" w:hAnsi="Times New Roman" w:cs="Times New Roman"/>
          <w:color w:val="000000" w:themeColor="text1"/>
          <w:sz w:val="24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Não poderá participar, direta ou indiretamente, da dispensa eletrônica ou da execução </w:t>
      </w:r>
      <w:r>
        <w:rPr>
          <w:rFonts w:ascii="Times New Roman" w:hAnsi="Times New Roman" w:cs="Times New Roman"/>
          <w:bCs/>
          <w:sz w:val="24"/>
        </w:rPr>
        <w:t xml:space="preserve">do contrato agente público do órgão ou entidade contratante, devendo ser observadas as situações que possam configurar conflito de interesses no exercício ou após o exercício do cargo ou emprego, nos termos da legislação que disciplina a matéria, conforme </w:t>
      </w:r>
      <w:hyperlink r:id="rId25" w:tooltip="http://www.planalto.gov.br/ccivil_03/_ato2019-2022/2021/lei/L14133.htm#art9§1" w:anchor="art9§1" w:history="1">
        <w:r>
          <w:rPr>
            <w:rStyle w:val="1050"/>
            <w:rFonts w:ascii="Times New Roman" w:hAnsi="Times New Roman" w:cs="Times New Roman"/>
            <w:bCs/>
            <w:sz w:val="24"/>
          </w:rPr>
          <w:t xml:space="preserve">§ 1º do art. 9º da Lei n.º 14.133, de 2021</w:t>
        </w:r>
      </w:hyperlink>
      <w:r>
        <w:rPr>
          <w:rFonts w:ascii="Times New Roman" w:hAnsi="Times New Roman" w:cs="Times New Roman"/>
          <w:bCs/>
          <w:sz w:val="24"/>
        </w:rPr>
        <w:t xml:space="preserve">.</w:t>
      </w:r>
      <w:r>
        <w:rPr>
          <w:rFonts w:ascii="Times New Roman" w:hAnsi="Times New Roman" w:cs="Times New Roman"/>
          <w:bCs/>
          <w:sz w:val="24"/>
        </w:rPr>
      </w:r>
      <w:r>
        <w:rPr>
          <w:rFonts w:ascii="Times New Roman" w:hAnsi="Times New Roman" w:cs="Times New Roman"/>
          <w:bCs/>
          <w:sz w:val="24"/>
        </w:rPr>
      </w:r>
    </w:p>
    <w:p>
      <w:pPr>
        <w:pBdr/>
        <w:spacing w:after="120" w:before="120" w:line="276" w:lineRule="auto"/>
        <w:ind w:left="425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</w:r>
      <w:r>
        <w:rPr>
          <w:rFonts w:ascii="Times New Roman" w:hAnsi="Times New Roman" w:cs="Times New Roman"/>
          <w:bCs/>
          <w:sz w:val="24"/>
        </w:rPr>
      </w:r>
      <w:r>
        <w:rPr>
          <w:rFonts w:ascii="Times New Roman" w:hAnsi="Times New Roman" w:cs="Times New Roman"/>
          <w:bCs/>
          <w:sz w:val="24"/>
        </w:rPr>
      </w:r>
    </w:p>
    <w:p>
      <w:pPr>
        <w:pStyle w:val="996"/>
        <w:pBdr/>
        <w:spacing/>
        <w:ind/>
        <w:rPr>
          <w:rFonts w:ascii="Times New Roman" w:hAnsi="Times New Roman" w:cs="Times New Roman"/>
          <w:sz w:val="24"/>
        </w:rPr>
      </w:pPr>
      <w:r/>
      <w:bookmarkStart w:id="10" w:name="_Toc142925863"/>
      <w:r>
        <w:rPr>
          <w:rFonts w:ascii="Times New Roman" w:hAnsi="Times New Roman" w:cs="Times New Roman"/>
          <w:sz w:val="24"/>
        </w:rPr>
        <w:t xml:space="preserve">INGRESSO NA DISPENSA ELETRÔNICA E CADASTRAMENTO DA PROPOSTA INICIAL</w:t>
      </w:r>
      <w:bookmarkEnd w:id="10"/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O ingresso do fornecedor na disputa da dispensa eletrônica ocorrerá com o cadastramento de sua proposta inicial, na forma deste item.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O fornecedor interessado, após a divulgação do Aviso de Contratação Di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reta, encaminhará, exclusivamente por meio do Sistema de Dispensa Eletrônica, a proposta com a descrição do objeto ofertado, a marca do produto, quando for o caso, e o preço ou o desconto, até a data e o horário estabelecidos para abertura do procedimento.</w:t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pStyle w:val="1026"/>
        <w:numPr>
          <w:ilvl w:val="2"/>
          <w:numId w:val="1"/>
        </w:numPr>
        <w:pBdr/>
        <w:spacing/>
        <w:ind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O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fornecedor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NÃO poderá oferecer proposta em quantitativo inferior ao </w:t>
      </w:r>
      <w:commentRangeStart w:id="0"/>
      <w:r>
        <w:rPr>
          <w:rFonts w:ascii="Times New Roman" w:hAnsi="Times New Roman" w:cs="Times New Roman"/>
          <w:color w:val="000000" w:themeColor="text1"/>
          <w:sz w:val="24"/>
        </w:rPr>
        <w:t xml:space="preserve">máximo</w:t>
      </w:r>
      <w:commentRangeEnd w:id="0"/>
      <w:r>
        <w:commentReference w:id="0"/>
      </w:r>
      <w:r>
        <w:rPr>
          <w:rFonts w:ascii="Times New Roman" w:hAnsi="Times New Roman" w:cs="Times New Roman"/>
          <w:color w:val="000000" w:themeColor="text1"/>
          <w:sz w:val="24"/>
        </w:rPr>
        <w:t xml:space="preserve"> previsto para contratação.</w:t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Todas as especificações do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objeto</w:t>
      </w:r>
      <w:r>
        <w:rPr>
          <w:rFonts w:ascii="Times New Roman" w:hAnsi="Times New Roman" w:cs="Times New Roman"/>
          <w:sz w:val="24"/>
        </w:rPr>
        <w:t xml:space="preserve"> contidas na proposta, em especial o preço ou o </w:t>
      </w:r>
      <w:r>
        <w:rPr>
          <w:rFonts w:ascii="Times New Roman" w:hAnsi="Times New Roman" w:cs="Times New Roman"/>
          <w:sz w:val="24"/>
        </w:rPr>
        <w:t xml:space="preserve">desconto ofertados</w:t>
      </w:r>
      <w:r>
        <w:rPr>
          <w:rFonts w:ascii="Times New Roman" w:hAnsi="Times New Roman" w:cs="Times New Roman"/>
          <w:sz w:val="24"/>
        </w:rPr>
        <w:t xml:space="preserve">, vinculam a Contratada.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Nos valores propostos estarão inclusos todos os custos operacionais, encargos previdenciários, trabalhistas, tributários, comerciais e quaisquer outros que incidam direta ou indiretamente na execução do objeto;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A proposta deverá conter declaração de que compreende a integralidade </w:t>
      </w:r>
      <w:r>
        <w:rPr>
          <w:rFonts w:ascii="Times New Roman" w:hAnsi="Times New Roman" w:cs="Times New Roman"/>
          <w:sz w:val="24"/>
        </w:rPr>
        <w:t xml:space="preserve">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Os preços ofertados, tanto na proposta inicial, quanto na etapa de lances, serão de exclusiva responsabilidade do fornecedor, não lhe assistindo o direito de pleitear qualquer alteração, sob alegação de erro, omissão ou qualquer outro pretexto.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Se o regime tributário da empresa implicar o recolhimento de tributos em percentuais variáveis, a cotação adequada será aquela correspondente à média dos efetivos recolhimentos da empresa nos últimos doze meses. 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Independentemente do percentual do tributo que constar da planilha, no pagamento serão retidos na fonte os percentuais estabelecidos pela legislação vigente.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apresentação das propostas implica obrigatoriedade do cumprimento das disposições nelas contidas, em conformidade com o que dispõe o </w:t>
      </w:r>
      <w:r>
        <w:rPr>
          <w:rFonts w:ascii="Times New Roman" w:hAnsi="Times New Roman" w:cs="Times New Roman"/>
          <w:iCs/>
          <w:sz w:val="24"/>
        </w:rPr>
        <w:t xml:space="preserve">Termo de Referência</w:t>
      </w:r>
      <w:r>
        <w:rPr>
          <w:rFonts w:ascii="Times New Roman" w:hAnsi="Times New Roman" w:cs="Times New Roman"/>
          <w:sz w:val="24"/>
        </w:rPr>
        <w:t xml:space="preserve">, assumindo o proponente o c</w:t>
      </w:r>
      <w:r>
        <w:rPr>
          <w:rFonts w:ascii="Times New Roman" w:hAnsi="Times New Roman" w:cs="Times New Roman"/>
          <w:sz w:val="24"/>
        </w:rPr>
        <w:t xml:space="preserve">ompromisso de executar os serviços nos seus termos, bem como de fornecer os materiais, equipamentos, ferramentas e utensílios necessários, em quantidades e qualidades adequadas à perfeita execução contratual, promovendo, quando requerido, sua substituição.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O </w:t>
      </w:r>
      <w:r>
        <w:rPr>
          <w:rFonts w:ascii="Times New Roman" w:hAnsi="Times New Roman" w:cs="Times New Roman"/>
          <w:sz w:val="24"/>
        </w:rPr>
        <w:t xml:space="preserve">prazo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de validade </w:t>
      </w:r>
      <w:r>
        <w:rPr>
          <w:rFonts w:ascii="Times New Roman" w:hAnsi="Times New Roman" w:cs="Times New Roman"/>
          <w:sz w:val="24"/>
        </w:rPr>
        <w:t xml:space="preserve">da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proposta não será inferior a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90</w:t>
      </w:r>
      <w:r>
        <w:rPr>
          <w:rFonts w:ascii="Times New Roman" w:hAnsi="Times New Roman" w:cs="Times New Roman"/>
          <w:color w:val="ff0000"/>
          <w:sz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noventa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)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dias</w:t>
      </w:r>
      <w:r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,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a contar da data de sua apresentação.</w:t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No cadastramento da proposta inicial, o fornecedor deverá, também, assinalar Termo de Aceitação, em campo próprio do sistema eletrônico, relativo às seguintes declarações:</w:t>
      </w:r>
      <w:r>
        <w:rPr>
          <w:rFonts w:ascii="Times New Roman" w:hAnsi="Times New Roman" w:eastAsia="Zurich BT" w:cs="Times New Roman"/>
          <w:color w:val="000000" w:themeColor="text1"/>
          <w:sz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que inexistem fatos impeditivos para sua habilitação no certame, ciente da obrigatoriedade de declarar ocorrências posteriores;</w:t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que está ciente e concorda com as condições contidas no Aviso de Contratação Direta e seus anexos;</w:t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que se responsabiliza pelas transações que forem efetuadas no sistema, assumindo-as como firmes e verdadeiras;</w:t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que cumpre as exigências de reserva de cargos para pessoa com deficiência e para reabilitado da Previdência Social, de que trata </w:t>
      </w:r>
      <w:hyperlink r:id="rId26" w:tooltip="https://www.planalto.gov.br/ccivil_03/leis/l8213cons.htm#art93" w:anchor="art93" w:history="1">
        <w:r>
          <w:rPr>
            <w:rStyle w:val="1050"/>
            <w:rFonts w:ascii="Times New Roman" w:hAnsi="Times New Roman" w:cs="Times New Roman"/>
            <w:sz w:val="24"/>
          </w:rPr>
          <w:t xml:space="preserve">o art. 93 da Lei nº 8.213/91</w:t>
        </w:r>
      </w:hyperlink>
      <w:r>
        <w:rPr>
          <w:rFonts w:ascii="Times New Roman" w:hAnsi="Times New Roman" w:cs="Times New Roman"/>
          <w:color w:val="000000" w:themeColor="text1"/>
          <w:sz w:val="24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que não emprega menor de 18 anos em trabalho noturno, perigoso ou insalubre e não emprega menor de 16 anos, salvo menor, a partir de 14 anos, na condição de aprendiz, nos termos do </w:t>
      </w:r>
      <w:hyperlink r:id="rId27" w:tooltip="https://normas.leg.br/?urn=urn:lex:br:federal:constituicao:1988-10-05;1988#art7" w:anchor="art7" w:history="1">
        <w:r>
          <w:rPr>
            <w:rStyle w:val="1050"/>
            <w:rFonts w:ascii="Times New Roman" w:hAnsi="Times New Roman" w:cs="Times New Roman"/>
            <w:sz w:val="24"/>
          </w:rPr>
          <w:t xml:space="preserve">artigo 7°, XXXIII, da Constituição</w:t>
        </w:r>
      </w:hyperlink>
      <w:r>
        <w:rPr>
          <w:rFonts w:ascii="Times New Roman" w:hAnsi="Times New Roman" w:cs="Times New Roman"/>
          <w:color w:val="000000" w:themeColor="text1"/>
          <w:sz w:val="24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O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fornecedor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organizado em cooperativa deverá declarar, ainda, em campo próprio do sistema eletrônico, que cumpre os requisitos estabelecidos no </w:t>
      </w:r>
      <w:hyperlink r:id="rId28" w:tooltip="http://www.planalto.gov.br/ccivil_03/_ato2019-2022/2021/lei/L14133.htm#art16" w:anchor="art16" w:history="1">
        <w:r>
          <w:rPr>
            <w:rStyle w:val="1050"/>
            <w:rFonts w:ascii="Times New Roman" w:hAnsi="Times New Roman" w:cs="Times New Roman"/>
            <w:sz w:val="24"/>
          </w:rPr>
          <w:t xml:space="preserve">artigo 16 da Lei nº 14.133, de 2021.</w:t>
        </w:r>
      </w:hyperlink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O fornecedor enquadrado como microempresa, empresa de pequeno porte ou sociedade cooperativa deverá declarar, ainda, em campo próprio do sistema eletrônico, que cumpre os requisitos estabelecidos no </w:t>
      </w:r>
      <w:hyperlink r:id="rId29" w:tooltip="https://www.planalto.gov.br/ccivil_03/leis/lcp/lcp123.htm#art3" w:anchor="art3" w:history="1">
        <w:r>
          <w:rPr>
            <w:rStyle w:val="1050"/>
            <w:rFonts w:ascii="Times New Roman" w:hAnsi="Times New Roman" w:cs="Times New Roman"/>
            <w:sz w:val="24"/>
          </w:rPr>
          <w:t xml:space="preserve">artigo 3° da Lei Complementar nº 123, de 2006</w:t>
        </w:r>
      </w:hyperlink>
      <w:r>
        <w:rPr>
          <w:rFonts w:ascii="Times New Roman" w:hAnsi="Times New Roman" w:cs="Times New Roman"/>
          <w:color w:val="000000" w:themeColor="text1"/>
          <w:sz w:val="24"/>
        </w:rPr>
        <w:t xml:space="preserve">, estando apto a usufruir do tratamento favorecido estabelecido em seus arts. 42 a 49, observado o disposto nos </w:t>
      </w:r>
      <w:hyperlink r:id="rId30" w:tooltip="http://www.planalto.gov.br/ccivil_03/_ato2019-2022/2021/lei/L14133.htm#art4§1" w:anchor="art4§1" w:history="1">
        <w:r>
          <w:rPr>
            <w:rStyle w:val="1050"/>
            <w:rFonts w:ascii="Times New Roman" w:hAnsi="Times New Roman" w:cs="Times New Roman"/>
            <w:sz w:val="24"/>
          </w:rPr>
          <w:t xml:space="preserve">§§ 1º ao 3º do art. 4º, da Lei n.º 14.133, de 2021.</w:t>
        </w:r>
        <w:r>
          <w:rPr>
            <w:rStyle w:val="1050"/>
            <w:rFonts w:ascii="Times New Roman" w:hAnsi="Times New Roman" w:cs="Times New Roman"/>
            <w:sz w:val="24"/>
          </w:rPr>
        </w:r>
      </w:hyperlink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pStyle w:val="996"/>
        <w:pBdr/>
        <w:spacing/>
        <w:ind/>
        <w:rPr>
          <w:rFonts w:ascii="Times New Roman" w:hAnsi="Times New Roman" w:cs="Times New Roman"/>
          <w:sz w:val="24"/>
        </w:rPr>
      </w:pPr>
      <w:r/>
      <w:bookmarkStart w:id="15" w:name="_Toc142925864"/>
      <w:r>
        <w:rPr>
          <w:rFonts w:ascii="Times New Roman" w:hAnsi="Times New Roman" w:cs="Times New Roman"/>
          <w:sz w:val="24"/>
        </w:rPr>
        <w:t xml:space="preserve">FASE DE LANCES</w:t>
      </w:r>
      <w:bookmarkEnd w:id="15"/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pStyle w:val="1026"/>
        <w:numPr>
          <w:ilvl w:val="1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4"/>
          <w:lang w:eastAsia="en-US"/>
        </w:rPr>
        <w:t xml:space="preserve">A partir da data e horário estabelecidos neste Aviso de Contratação Direta, a sessão pública será automaticamente aberta pelo sistema para o envio de lances </w:t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  <w:t xml:space="preserve">públicos e sucessivos, </w:t>
      </w:r>
      <w:r>
        <w:rPr>
          <w:rFonts w:ascii="Times New Roman" w:hAnsi="Times New Roman" w:cs="Times New Roman"/>
          <w:bCs/>
          <w:sz w:val="24"/>
          <w:lang w:eastAsia="en-US"/>
        </w:rPr>
        <w:t xml:space="preserve">exclusivamente por meio do sistema eletrônico</w:t>
      </w:r>
      <w:r>
        <w:rPr>
          <w:rFonts w:ascii="Times New Roman" w:hAnsi="Times New Roman" w:cs="Times New Roman"/>
          <w:sz w:val="24"/>
          <w:lang w:eastAsia="en-US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  <w:t xml:space="preserve">sendo encerrado no horário de finalização de lances também já previsto neste aviso.</w:t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</w:r>
    </w:p>
    <w:p>
      <w:pPr>
        <w:pStyle w:val="1026"/>
        <w:numPr>
          <w:ilvl w:val="1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Iniciada a etapa competitiva, os fornecedores deverão encaminhar lances exclusivamente por meio de sistema eletrônico, sendo imediatamente informados do seu recebimento e do valor consignado no registro. </w:t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</w:r>
    </w:p>
    <w:p>
      <w:pPr>
        <w:pStyle w:val="1026"/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sz w:val="24"/>
          <w:lang w:eastAsia="en-US"/>
        </w:rPr>
      </w:pPr>
      <w:r>
        <w:rPr>
          <w:rFonts w:ascii="Times New Roman" w:hAnsi="Times New Roman" w:cs="Times New Roman"/>
          <w:sz w:val="24"/>
        </w:rPr>
        <w:t xml:space="preserve">O lance </w:t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  <w:t xml:space="preserve">deverá</w:t>
      </w:r>
      <w:r>
        <w:rPr>
          <w:rFonts w:ascii="Times New Roman" w:hAnsi="Times New Roman" w:cs="Times New Roman"/>
          <w:sz w:val="24"/>
        </w:rPr>
        <w:t xml:space="preserve"> ser ofertado pelo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valor unitário</w:t>
      </w:r>
      <w:r>
        <w:rPr>
          <w:rFonts w:ascii="Times New Roman" w:hAnsi="Times New Roman" w:cs="Times New Roman"/>
          <w:i/>
          <w:iCs/>
          <w:color w:val="ff000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do item.</w:t>
      </w:r>
      <w:r>
        <w:rPr>
          <w:rFonts w:ascii="Times New Roman" w:hAnsi="Times New Roman" w:cs="Times New Roman"/>
          <w:sz w:val="24"/>
          <w:lang w:eastAsia="en-US"/>
        </w:rPr>
      </w:r>
      <w:r>
        <w:rPr>
          <w:rFonts w:ascii="Times New Roman" w:hAnsi="Times New Roman" w:cs="Times New Roman"/>
          <w:sz w:val="24"/>
          <w:lang w:eastAsia="en-US"/>
        </w:rPr>
      </w:r>
    </w:p>
    <w:p>
      <w:pPr>
        <w:pStyle w:val="1022"/>
        <w:numPr>
          <w:ilvl w:val="1"/>
          <w:numId w:val="1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hd w:val="clear" w:color="auto" w:fill="ffffff" w:themeFill="background1"/>
        <w:spacing w:after="120" w:line="276" w:lineRule="auto"/>
        <w:ind/>
        <w:contextualSpacing w:val="true"/>
        <w:rPr>
          <w:rFonts w:ascii="Times New Roman" w:hAnsi="Times New Roman" w:cs="Times New Roman"/>
          <w:i w:val="0"/>
          <w:iCs w:val="0"/>
          <w:color w:val="000000" w:themeColor="text1"/>
          <w:sz w:val="24"/>
        </w:rPr>
      </w:pPr>
      <w:r>
        <w:rPr>
          <w:rFonts w:ascii="Times New Roman" w:hAnsi="Times New Roman" w:cs="Times New Roman"/>
          <w:i w:val="0"/>
          <w:iCs w:val="0"/>
          <w:color w:val="000000" w:themeColor="text1"/>
          <w:sz w:val="24"/>
        </w:rPr>
        <w:t xml:space="preserve">O fornecedor somente poderá oferecer valor inferior ou percentual de desconto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</w:rPr>
        <w:t xml:space="preserve">superior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</w:rPr>
        <w:t xml:space="preserve">ao último lance por ele ofertado e registrado pelo sistema.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</w:rPr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</w:rPr>
      </w:r>
    </w:p>
    <w:p>
      <w:pPr>
        <w:pStyle w:val="1026"/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4"/>
          <w:lang w:eastAsia="en-US"/>
        </w:rPr>
        <w:t xml:space="preserve">O fornecedor poderá oferecer l</w:t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  <w:t xml:space="preserve">ances sucessivos iguais ou superiores ao lance que esteja vencendo o certame, desde que inferiores ao menor por ele ofertado e registrado pelo sistema, sendo tais lances definidos como “lances intermediários” para os fins deste Aviso de Contratação Direta.</w:t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</w:r>
    </w:p>
    <w:p>
      <w:pPr>
        <w:pStyle w:val="1026"/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  <w:lang w:eastAsia="en-US"/>
        </w:rPr>
      </w:pPr>
      <w:r>
        <w:rPr>
          <w:rFonts w:ascii="Times New Roman" w:hAnsi="Times New Roman" w:cs="Times New Roman"/>
          <w:sz w:val="24"/>
        </w:rPr>
        <w:t xml:space="preserve">O intervalo mínimo de diferença de valores ou percentuais entre os lances, que incidirá tanto em relação aos lances intermediários quanto em relação ao que cobrir a melhor oferta é de</w:t>
      </w:r>
      <w:r>
        <w:rPr>
          <w:rFonts w:ascii="Times New Roman" w:hAnsi="Times New Roman" w:cs="Times New Roman"/>
          <w:i/>
          <w:iCs/>
          <w:sz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0,10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(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dez centavos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).</w:t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</w:r>
    </w:p>
    <w:p>
      <w:pPr>
        <w:pStyle w:val="1026"/>
        <w:numPr>
          <w:ilvl w:val="1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4"/>
          <w:lang w:eastAsia="en-US"/>
        </w:rPr>
        <w:t xml:space="preserve">Havendo lances iguais ao menor já ofertado, prevalecerá aquele que for recebido e registrado primeiro no sistema.</w:t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</w:r>
    </w:p>
    <w:p>
      <w:pPr>
        <w:pStyle w:val="1026"/>
        <w:numPr>
          <w:ilvl w:val="1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4"/>
          <w:lang w:eastAsia="en-US"/>
        </w:rPr>
        <w:t xml:space="preserve">Caso o fornecedor não apresente lances, concorrerá com o valor de sua proposta.</w:t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</w:r>
    </w:p>
    <w:p>
      <w:pPr>
        <w:pStyle w:val="1026"/>
        <w:numPr>
          <w:ilvl w:val="1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4"/>
          <w:lang w:eastAsia="en-US"/>
        </w:rPr>
        <w:t xml:space="preserve">Durante o procedimento, os fornecedores serão informados, em tempo real, do valor do menor lance ou do maior desconto registrado, vedada a identificação do fornecedor.</w:t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</w:r>
    </w:p>
    <w:p>
      <w:pPr>
        <w:pStyle w:val="1026"/>
        <w:numPr>
          <w:ilvl w:val="1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4"/>
          <w:lang w:eastAsia="en-US"/>
        </w:rPr>
        <w:t xml:space="preserve">Imediatamente após o término do prazo estabelecido para a fase de lances, haverá o seu encerramento, com o ordenamento e divulgação dos lances, pelo sistema, em ordem crescente de classificação.</w:t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</w:r>
    </w:p>
    <w:p>
      <w:pPr>
        <w:pStyle w:val="1026"/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  <w:lang w:eastAsia="en-US"/>
        </w:rPr>
        <w:t xml:space="preserve">O encerramento da fase de lances ocorrerá de forma automática pontualmente no horário indicado, sem qualquer possibilidade de prorrogação e não havendo tempo aleatório ou mecanismo similar.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pStyle w:val="996"/>
        <w:pBdr/>
        <w:spacing/>
        <w:ind/>
        <w:rPr>
          <w:rFonts w:ascii="Times New Roman" w:hAnsi="Times New Roman" w:cs="Times New Roman"/>
          <w:sz w:val="24"/>
        </w:rPr>
      </w:pPr>
      <w:r/>
      <w:bookmarkStart w:id="16" w:name="_Toc142925865"/>
      <w:r>
        <w:rPr>
          <w:rFonts w:ascii="Times New Roman" w:hAnsi="Times New Roman" w:cs="Times New Roman"/>
          <w:sz w:val="24"/>
        </w:rPr>
        <w:t xml:space="preserve">JULGAMENTO </w:t>
      </w:r>
      <w:r>
        <w:rPr>
          <w:rFonts w:ascii="Times New Roman" w:hAnsi="Times New Roman" w:cs="Times New Roman"/>
          <w:sz w:val="24"/>
        </w:rPr>
        <w:t xml:space="preserve">E ACEITAÇÃO </w:t>
      </w:r>
      <w:r>
        <w:rPr>
          <w:rFonts w:ascii="Times New Roman" w:hAnsi="Times New Roman" w:cs="Times New Roman"/>
          <w:sz w:val="24"/>
        </w:rPr>
        <w:t xml:space="preserve">DAS PROPOSTAS </w:t>
      </w:r>
      <w:bookmarkEnd w:id="16"/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pStyle w:val="1026"/>
        <w:numPr>
          <w:ilvl w:val="1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Encerrada a fase de lances, </w:t>
      </w:r>
      <w:r>
        <w:rPr>
          <w:rFonts w:ascii="Times New Roman" w:hAnsi="Times New Roman" w:cs="Times New Roman"/>
          <w:sz w:val="24"/>
        </w:rPr>
        <w:t xml:space="preserve">quando</w:t>
      </w:r>
      <w:r>
        <w:rPr>
          <w:rFonts w:ascii="Times New Roman" w:hAnsi="Times New Roman" w:cs="Times New Roman"/>
          <w:sz w:val="24"/>
        </w:rPr>
        <w:t xml:space="preserve"> a proposta do primeiro colocado permanecer acima do preço máximo ou </w:t>
      </w:r>
      <w:r>
        <w:rPr>
          <w:rFonts w:ascii="Times New Roman" w:hAnsi="Times New Roman" w:cs="Times New Roman"/>
          <w:sz w:val="24"/>
        </w:rPr>
        <w:t xml:space="preserve">abaixo d</w:t>
      </w:r>
      <w:r>
        <w:rPr>
          <w:rFonts w:ascii="Times New Roman" w:hAnsi="Times New Roman" w:cs="Times New Roman"/>
          <w:sz w:val="24"/>
        </w:rPr>
        <w:t xml:space="preserve">o desconto definido para a contratação, o pregoeiro poderá negociar condições mais vantajosas</w:t>
      </w:r>
      <w:r>
        <w:rPr>
          <w:rFonts w:ascii="Times New Roman" w:hAnsi="Times New Roman" w:cs="Times New Roman"/>
          <w:sz w:val="24"/>
        </w:rPr>
        <w:t xml:space="preserve">.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pStyle w:val="1026"/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Neste caso, será encaminhada contraproposta ao fornecedor que tenha apresentado o </w:t>
      </w:r>
      <w:r>
        <w:rPr>
          <w:rFonts w:ascii="Times New Roman" w:hAnsi="Times New Roman" w:cs="Times New Roman"/>
          <w:color w:val="000000"/>
          <w:sz w:val="24"/>
        </w:rPr>
        <w:t xml:space="preserve">menor </w:t>
      </w:r>
      <w:r>
        <w:rPr>
          <w:rFonts w:ascii="Times New Roman" w:hAnsi="Times New Roman" w:cs="Times New Roman"/>
          <w:color w:val="000000"/>
          <w:sz w:val="24"/>
        </w:rPr>
        <w:t xml:space="preserve">preço</w:t>
      </w:r>
      <w:r>
        <w:rPr>
          <w:rFonts w:ascii="Times New Roman" w:hAnsi="Times New Roman" w:cs="Times New Roman"/>
          <w:color w:val="000000"/>
          <w:sz w:val="24"/>
        </w:rPr>
        <w:t xml:space="preserve"> ou o maior desconto</w:t>
      </w:r>
      <w:r>
        <w:rPr>
          <w:rFonts w:ascii="Times New Roman" w:hAnsi="Times New Roman" w:cs="Times New Roman"/>
          <w:color w:val="000000"/>
          <w:sz w:val="24"/>
        </w:rPr>
        <w:t xml:space="preserve">, para que seja obtida a melhor proposta compatível</w:t>
      </w:r>
      <w:r>
        <w:rPr>
          <w:rFonts w:ascii="Times New Roman" w:hAnsi="Times New Roman" w:cs="Times New Roman"/>
          <w:color w:val="000000"/>
          <w:sz w:val="24"/>
        </w:rPr>
        <w:t xml:space="preserve"> em relação</w:t>
      </w:r>
      <w:r>
        <w:rPr>
          <w:rFonts w:ascii="Times New Roman" w:hAnsi="Times New Roman" w:cs="Times New Roman"/>
          <w:color w:val="000000"/>
          <w:sz w:val="24"/>
        </w:rPr>
        <w:t xml:space="preserve"> ao </w:t>
      </w:r>
      <w:r>
        <w:rPr>
          <w:rFonts w:ascii="Times New Roman" w:hAnsi="Times New Roman" w:cs="Times New Roman"/>
          <w:color w:val="000000"/>
          <w:sz w:val="24"/>
        </w:rPr>
        <w:t xml:space="preserve">estipulado </w:t>
      </w:r>
      <w:r>
        <w:rPr>
          <w:rFonts w:ascii="Times New Roman" w:hAnsi="Times New Roman" w:cs="Times New Roman"/>
          <w:color w:val="000000"/>
          <w:sz w:val="24"/>
        </w:rPr>
        <w:t xml:space="preserve">pela Administração.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pStyle w:val="1026"/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negociação poderá ser feita com os demais fornecedores classificados, </w:t>
      </w:r>
      <w:r>
        <w:rPr>
          <w:rFonts w:ascii="Times New Roman" w:hAnsi="Times New Roman" w:cs="Times New Roman"/>
          <w:sz w:val="24"/>
          <w:shd w:val="clear" w:color="auto" w:fill="ffffff"/>
        </w:rPr>
        <w:t xml:space="preserve">exclusivamente por meio do sistema,</w:t>
      </w:r>
      <w:r>
        <w:rPr>
          <w:rFonts w:ascii="Times New Roman" w:hAnsi="Times New Roman" w:cs="Times New Roman"/>
          <w:sz w:val="24"/>
        </w:rPr>
        <w:t xml:space="preserve"> respeitada a ordem de classificação, quando o primeiro colocado, mesmo após a negociação, for desclassificado em razão de sua proposta permanecer acima do preço máximo </w:t>
      </w:r>
      <w:r>
        <w:rPr>
          <w:rFonts w:ascii="Times New Roman" w:hAnsi="Times New Roman" w:cs="Times New Roman"/>
          <w:sz w:val="24"/>
        </w:rPr>
        <w:t xml:space="preserve">ou abaixo do desconto </w:t>
      </w:r>
      <w:r>
        <w:rPr>
          <w:rFonts w:ascii="Times New Roman" w:hAnsi="Times New Roman" w:cs="Times New Roman"/>
          <w:sz w:val="24"/>
        </w:rPr>
        <w:t xml:space="preserve">definido para a contratação.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pStyle w:val="1026"/>
        <w:numPr>
          <w:ilvl w:val="1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Em qualquer caso, concluída a negociação, se houver, o resultado será</w:t>
      </w:r>
      <w:r>
        <w:rPr>
          <w:rFonts w:ascii="Times New Roman" w:hAnsi="Times New Roman" w:cs="Times New Roman"/>
          <w:sz w:val="24"/>
        </w:rPr>
        <w:t xml:space="preserve"> divulgado a todos e </w:t>
      </w:r>
      <w:r>
        <w:rPr>
          <w:rFonts w:ascii="Times New Roman" w:hAnsi="Times New Roman" w:cs="Times New Roman"/>
          <w:sz w:val="24"/>
        </w:rPr>
        <w:t xml:space="preserve">registrado na ata do procedimento da dispensa eletrônica, </w:t>
      </w:r>
      <w:r>
        <w:rPr>
          <w:rFonts w:ascii="Times New Roman" w:hAnsi="Times New Roman" w:cs="Times New Roman"/>
          <w:sz w:val="24"/>
          <w:shd w:val="clear" w:color="auto" w:fill="ffffff"/>
        </w:rPr>
        <w:t xml:space="preserve">devendo esta ser anexada aos autos do processo de contratação.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pStyle w:val="1026"/>
        <w:numPr>
          <w:ilvl w:val="1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Constatada a compatibilidade entre o valor da proposta e o estipulado para a contratação, será solicitad</w:t>
      </w:r>
      <w:r>
        <w:rPr>
          <w:rFonts w:ascii="Times New Roman" w:hAnsi="Times New Roman" w:cs="Times New Roman"/>
          <w:sz w:val="24"/>
        </w:rPr>
        <w:t xml:space="preserve">o</w:t>
      </w:r>
      <w:r>
        <w:rPr>
          <w:rFonts w:ascii="Times New Roman" w:hAnsi="Times New Roman" w:cs="Times New Roman"/>
          <w:sz w:val="24"/>
        </w:rPr>
        <w:t xml:space="preserve"> ao fornecedor </w:t>
      </w:r>
      <w:r>
        <w:rPr>
          <w:rFonts w:ascii="Times New Roman" w:hAnsi="Times New Roman" w:cs="Times New Roman"/>
          <w:sz w:val="24"/>
        </w:rPr>
        <w:t xml:space="preserve">o envio da proposta adequada ao último lance ofertado </w:t>
      </w:r>
      <w:r>
        <w:rPr>
          <w:rFonts w:ascii="Times New Roman" w:hAnsi="Times New Roman" w:cs="Times New Roman"/>
          <w:sz w:val="24"/>
        </w:rPr>
        <w:t xml:space="preserve">ou </w:t>
      </w:r>
      <w:r>
        <w:rPr>
          <w:rFonts w:ascii="Times New Roman" w:hAnsi="Times New Roman" w:cs="Times New Roman"/>
          <w:sz w:val="24"/>
        </w:rPr>
        <w:t xml:space="preserve">ao valor negociado, </w:t>
      </w:r>
      <w:r>
        <w:rPr>
          <w:rFonts w:ascii="Times New Roman" w:hAnsi="Times New Roman" w:cs="Times New Roman"/>
          <w:sz w:val="24"/>
        </w:rPr>
        <w:t xml:space="preserve">se for o caso, </w:t>
      </w:r>
      <w:r>
        <w:rPr>
          <w:rFonts w:ascii="Times New Roman" w:hAnsi="Times New Roman" w:cs="Times New Roman"/>
          <w:sz w:val="24"/>
        </w:rPr>
        <w:t xml:space="preserve">acompanhada d</w:t>
      </w:r>
      <w:r>
        <w:rPr>
          <w:rFonts w:ascii="Times New Roman" w:hAnsi="Times New Roman" w:cs="Times New Roman"/>
          <w:sz w:val="24"/>
        </w:rPr>
        <w:t xml:space="preserve">os</w:t>
      </w:r>
      <w:r>
        <w:rPr>
          <w:rFonts w:ascii="Times New Roman" w:hAnsi="Times New Roman" w:cs="Times New Roman"/>
          <w:sz w:val="24"/>
        </w:rPr>
        <w:t xml:space="preserve"> documentos complementares, </w:t>
      </w:r>
      <w:r>
        <w:rPr>
          <w:rFonts w:ascii="Times New Roman" w:hAnsi="Times New Roman" w:cs="Times New Roman"/>
          <w:sz w:val="24"/>
        </w:rPr>
        <w:t xml:space="preserve">quando</w:t>
      </w:r>
      <w:r>
        <w:rPr>
          <w:rFonts w:ascii="Times New Roman" w:hAnsi="Times New Roman" w:cs="Times New Roman"/>
          <w:sz w:val="24"/>
        </w:rPr>
        <w:t xml:space="preserve"> necessários. 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pStyle w:val="1026"/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Além da documentação supracitada, o fornecedor com a melhor proposta deverá encaminhar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, caso seja solicitado pelo pregoeiro,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planilha com indicação de custos unitários e formação de preços, conforme modelo anexo, com os valores adequados à proposta vencedora.</w:t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pStyle w:val="1026"/>
        <w:numPr>
          <w:ilvl w:val="1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Encerrada a etapa de negociação,</w:t>
      </w:r>
      <w:r>
        <w:rPr>
          <w:rFonts w:ascii="Times New Roman" w:hAnsi="Times New Roman" w:cs="Times New Roman"/>
          <w:sz w:val="24"/>
        </w:rPr>
        <w:t xml:space="preserve"> se houver,</w:t>
      </w:r>
      <w:r>
        <w:rPr>
          <w:rFonts w:ascii="Times New Roman" w:hAnsi="Times New Roman" w:cs="Times New Roman"/>
          <w:sz w:val="24"/>
        </w:rPr>
        <w:t xml:space="preserve"> o pregoeiro verificará se o fornecedor provisoriamente classificado em primeiro lugar atende às condições de participação no certame, conforme previsto no art. 14 da Lei nº 14.133/2021, legislação correlata e no</w:t>
      </w:r>
      <w:r>
        <w:rPr>
          <w:rFonts w:ascii="Times New Roman" w:hAnsi="Times New Roman" w:cs="Times New Roman"/>
          <w:sz w:val="24"/>
        </w:rPr>
        <w:t xml:space="preserve">s</w:t>
      </w:r>
      <w:r>
        <w:rPr>
          <w:rFonts w:ascii="Times New Roman" w:hAnsi="Times New Roman" w:cs="Times New Roman"/>
          <w:sz w:val="24"/>
        </w:rPr>
        <w:t xml:space="preserve"> ite</w:t>
      </w:r>
      <w:r>
        <w:rPr>
          <w:rFonts w:ascii="Times New Roman" w:hAnsi="Times New Roman" w:cs="Times New Roman"/>
          <w:sz w:val="24"/>
        </w:rPr>
        <w:t xml:space="preserve">ns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fldChar w:fldCharType="begin"/>
      </w:r>
      <w:r>
        <w:rPr>
          <w:rFonts w:ascii="Times New Roman" w:hAnsi="Times New Roman" w:cs="Times New Roman"/>
          <w:sz w:val="24"/>
        </w:rPr>
        <w:instrText xml:space="preserve"> REF _Ref144286315 \r \h </w:instrText>
      </w:r>
      <w:r>
        <w:rPr>
          <w:rFonts w:ascii="Times New Roman" w:hAnsi="Times New Roman" w:cs="Times New Roman"/>
          <w:sz w:val="24"/>
        </w:rPr>
        <w:instrText xml:space="preserve"> \* MERGEFORMAT </w:instrText>
      </w:r>
      <w:r>
        <w:rPr>
          <w:rFonts w:ascii="Times New Roman" w:hAnsi="Times New Roman" w:cs="Times New Roman"/>
          <w:sz w:val="24"/>
        </w:rPr>
        <w:fldChar w:fldCharType="separate"/>
      </w:r>
      <w:r>
        <w:rPr>
          <w:rFonts w:ascii="Times New Roman" w:hAnsi="Times New Roman" w:cs="Times New Roman"/>
          <w:sz w:val="24"/>
        </w:rPr>
        <w:t xml:space="preserve">3.3</w:t>
      </w:r>
      <w:r>
        <w:rPr>
          <w:rFonts w:ascii="Times New Roman" w:hAnsi="Times New Roman" w:cs="Times New Roman"/>
          <w:sz w:val="24"/>
        </w:rPr>
        <w:fldChar w:fldCharType="end"/>
      </w:r>
      <w:r>
        <w:rPr>
          <w:rFonts w:ascii="Times New Roman" w:hAnsi="Times New Roman" w:cs="Times New Roman"/>
          <w:sz w:val="24"/>
        </w:rPr>
        <w:t xml:space="preserve"> e seguintes deste Aviso</w:t>
      </w:r>
      <w:r>
        <w:rPr>
          <w:rFonts w:ascii="Times New Roman" w:hAnsi="Times New Roman" w:cs="Times New Roman"/>
          <w:sz w:val="24"/>
        </w:rPr>
        <w:t xml:space="preserve">, especialmente quanto à existência de sanção que impeça a participação </w:t>
      </w:r>
      <w:r>
        <w:rPr>
          <w:rFonts w:ascii="Times New Roman" w:hAnsi="Times New Roman" w:cs="Times New Roman"/>
          <w:sz w:val="24"/>
          <w:lang w:eastAsia="ar-SA"/>
        </w:rPr>
        <w:t xml:space="preserve">no processo de contratação direta </w:t>
      </w:r>
      <w:r>
        <w:rPr>
          <w:rFonts w:ascii="Times New Roman" w:hAnsi="Times New Roman" w:cs="Times New Roman"/>
          <w:sz w:val="24"/>
        </w:rPr>
        <w:t xml:space="preserve">ou a futura contratação, mediante a consulta aos seguintes cadastros: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pStyle w:val="1026"/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SICAF;  </w:t>
      </w:r>
      <w:r>
        <w:rPr>
          <w:rFonts w:ascii="Times New Roman" w:hAnsi="Times New Roman" w:cs="Times New Roman"/>
          <w:color w:val="000000"/>
          <w:sz w:val="24"/>
        </w:rPr>
      </w:r>
      <w:r>
        <w:rPr>
          <w:rFonts w:ascii="Times New Roman" w:hAnsi="Times New Roman" w:cs="Times New Roman"/>
          <w:color w:val="000000"/>
          <w:sz w:val="24"/>
        </w:rPr>
      </w:r>
    </w:p>
    <w:p>
      <w:pPr>
        <w:pStyle w:val="1026"/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Cadastro Nacional de Empresas Inidôneas e Suspensas - CEIS, mantido pela Controladoria-Geral da União (https://www.portaltransparencia.gov.br/</w:t>
      </w:r>
      <w:r>
        <w:rPr>
          <w:rFonts w:ascii="Times New Roman" w:hAnsi="Times New Roman" w:cs="Times New Roman"/>
          <w:color w:val="000000"/>
          <w:sz w:val="24"/>
        </w:rPr>
        <w:t xml:space="preserve">sancoes</w:t>
      </w:r>
      <w:r>
        <w:rPr>
          <w:rFonts w:ascii="Times New Roman" w:hAnsi="Times New Roman" w:cs="Times New Roman"/>
          <w:color w:val="000000"/>
          <w:sz w:val="24"/>
        </w:rPr>
        <w:t xml:space="preserve">/</w:t>
      </w:r>
      <w:r>
        <w:rPr>
          <w:rFonts w:ascii="Times New Roman" w:hAnsi="Times New Roman" w:cs="Times New Roman"/>
          <w:color w:val="000000"/>
          <w:sz w:val="24"/>
        </w:rPr>
        <w:t xml:space="preserve">ceis</w:t>
      </w:r>
      <w:r>
        <w:rPr>
          <w:rFonts w:ascii="Times New Roman" w:hAnsi="Times New Roman" w:cs="Times New Roman"/>
          <w:color w:val="000000"/>
          <w:sz w:val="24"/>
        </w:rPr>
        <w:t xml:space="preserve">); e </w:t>
      </w:r>
      <w:r>
        <w:rPr>
          <w:rFonts w:ascii="Times New Roman" w:hAnsi="Times New Roman" w:cs="Times New Roman"/>
          <w:color w:val="000000"/>
          <w:sz w:val="24"/>
        </w:rPr>
      </w:r>
      <w:r>
        <w:rPr>
          <w:rFonts w:ascii="Times New Roman" w:hAnsi="Times New Roman" w:cs="Times New Roman"/>
          <w:color w:val="000000"/>
          <w:sz w:val="24"/>
        </w:rPr>
      </w:r>
    </w:p>
    <w:p>
      <w:pPr>
        <w:pStyle w:val="1026"/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Cadastro Nacional de Empresas Punidas – CNEP, mantido pela Controladoria-Geral da União (https://www.portaltransparencia</w:t>
      </w:r>
      <w:r>
        <w:rPr>
          <w:rFonts w:ascii="Times New Roman" w:hAnsi="Times New Roman" w:cs="Times New Roman"/>
          <w:sz w:val="24"/>
        </w:rPr>
        <w:t xml:space="preserve">.gov.br/</w:t>
      </w:r>
      <w:r>
        <w:rPr>
          <w:rFonts w:ascii="Times New Roman" w:hAnsi="Times New Roman" w:cs="Times New Roman"/>
          <w:sz w:val="24"/>
        </w:rPr>
        <w:t xml:space="preserve">sancoes</w:t>
      </w:r>
      <w:r>
        <w:rPr>
          <w:rFonts w:ascii="Times New Roman" w:hAnsi="Times New Roman" w:cs="Times New Roman"/>
          <w:sz w:val="24"/>
        </w:rPr>
        <w:t xml:space="preserve">/</w:t>
      </w:r>
      <w:r>
        <w:rPr>
          <w:rFonts w:ascii="Times New Roman" w:hAnsi="Times New Roman" w:cs="Times New Roman"/>
          <w:sz w:val="24"/>
        </w:rPr>
        <w:t xml:space="preserve">cnep</w:t>
      </w:r>
      <w:r>
        <w:rPr>
          <w:rFonts w:ascii="Times New Roman" w:hAnsi="Times New Roman" w:cs="Times New Roman"/>
          <w:sz w:val="24"/>
        </w:rPr>
        <w:t xml:space="preserve">). 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pStyle w:val="1026"/>
        <w:numPr>
          <w:ilvl w:val="1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consulta aos cadastros será realizada em nome da empresa </w:t>
      </w:r>
      <w:r>
        <w:rPr>
          <w:rFonts w:ascii="Times New Roman" w:hAnsi="Times New Roman" w:cs="Times New Roman"/>
          <w:sz w:val="24"/>
        </w:rPr>
        <w:t xml:space="preserve">fornecedora</w:t>
      </w:r>
      <w:r>
        <w:rPr>
          <w:rFonts w:ascii="Times New Roman" w:hAnsi="Times New Roman" w:cs="Times New Roman"/>
          <w:sz w:val="24"/>
        </w:rPr>
        <w:t xml:space="preserve"> e também de seu sócio majoritário, por força da vedação de que trata o artigo 12 da Lei n° 8.429, de 1992.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pStyle w:val="1026"/>
        <w:numPr>
          <w:ilvl w:val="1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Caso conste na Consulta de Situação do </w:t>
      </w:r>
      <w:r>
        <w:rPr>
          <w:rFonts w:ascii="Times New Roman" w:hAnsi="Times New Roman" w:cs="Times New Roman"/>
          <w:sz w:val="24"/>
        </w:rPr>
        <w:t xml:space="preserve">fornecedor</w:t>
      </w:r>
      <w:r>
        <w:rPr>
          <w:rFonts w:ascii="Times New Roman" w:hAnsi="Times New Roman" w:cs="Times New Roman"/>
          <w:sz w:val="24"/>
        </w:rPr>
        <w:t xml:space="preserve"> a existência de Ocorrências Impeditivas Indiretas, o </w:t>
      </w:r>
      <w:r>
        <w:rPr>
          <w:rFonts w:ascii="Times New Roman" w:hAnsi="Times New Roman" w:cs="Times New Roman"/>
          <w:sz w:val="24"/>
        </w:rPr>
        <w:t xml:space="preserve">órgão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diligenciará para verificar se houve fraude por parte das empresas apontadas no Relatório de Ocorrências Impeditivas Indiretas. (IN nº 3/2018, art. 29, caput)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pStyle w:val="1026"/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tentativa de burla será verificada por meio dos vínculos societários, linhas de fornecimento </w:t>
      </w:r>
      <w:r>
        <w:rPr>
          <w:rFonts w:ascii="Times New Roman" w:hAnsi="Times New Roman" w:cs="Times New Roman"/>
          <w:color w:val="000000"/>
          <w:sz w:val="24"/>
        </w:rPr>
        <w:t xml:space="preserve">similares</w:t>
      </w:r>
      <w:r>
        <w:rPr>
          <w:rFonts w:ascii="Times New Roman" w:hAnsi="Times New Roman" w:cs="Times New Roman"/>
          <w:sz w:val="24"/>
        </w:rPr>
        <w:t xml:space="preserve">, dentre outros. (IN nº 3/2018, art. 29, §1º).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pStyle w:val="1026"/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O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fornecedor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 xml:space="preserve">será</w:t>
      </w:r>
      <w:r>
        <w:rPr>
          <w:rFonts w:ascii="Times New Roman" w:hAnsi="Times New Roman" w:cs="Times New Roman"/>
          <w:sz w:val="24"/>
        </w:rPr>
        <w:t xml:space="preserve"> convocado para manifestação previamente a uma eventual desclassificação. (IN nº 3/2018, art. 29, §2º).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pStyle w:val="1026"/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Constatada a existência de sanção, o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fornecedor</w:t>
      </w:r>
      <w:r>
        <w:rPr>
          <w:rFonts w:ascii="Times New Roman" w:hAnsi="Times New Roman" w:cs="Times New Roman"/>
          <w:sz w:val="24"/>
        </w:rPr>
        <w:t xml:space="preserve"> será reputado inabilitado, por falta de condição de participação.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pStyle w:val="1026"/>
        <w:numPr>
          <w:ilvl w:val="1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Verificadas as condições de participação, o </w:t>
      </w:r>
      <w:r>
        <w:rPr>
          <w:rFonts w:ascii="Times New Roman" w:hAnsi="Times New Roman" w:cs="Times New Roman"/>
          <w:sz w:val="24"/>
        </w:rPr>
        <w:t xml:space="preserve">gestor </w:t>
      </w:r>
      <w:r>
        <w:rPr>
          <w:rFonts w:ascii="Times New Roman" w:hAnsi="Times New Roman" w:cs="Times New Roman"/>
          <w:sz w:val="24"/>
        </w:rPr>
        <w:t xml:space="preserve">examinará a proposta classificada em primeiro lugar quanto à adequação ao objeto e à compatibilidade do preço em relação ao máximo estipulado para contratação neste </w:t>
      </w:r>
      <w:r>
        <w:rPr>
          <w:rFonts w:ascii="Times New Roman" w:hAnsi="Times New Roman" w:cs="Times New Roman"/>
          <w:sz w:val="24"/>
        </w:rPr>
        <w:t xml:space="preserve">Aviso de Contratação Direta</w:t>
      </w:r>
      <w:r>
        <w:rPr>
          <w:rFonts w:ascii="Times New Roman" w:hAnsi="Times New Roman" w:cs="Times New Roman"/>
          <w:sz w:val="24"/>
        </w:rPr>
        <w:t xml:space="preserve"> e em seus anexos</w:t>
      </w:r>
      <w:r>
        <w:rPr>
          <w:rFonts w:ascii="Times New Roman" w:hAnsi="Times New Roman" w:cs="Times New Roman"/>
          <w:sz w:val="24"/>
        </w:rPr>
        <w:t xml:space="preserve">.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pStyle w:val="1026"/>
        <w:numPr>
          <w:ilvl w:val="1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i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  <w:lang w:eastAsia="en-US"/>
        </w:rPr>
        <w:t xml:space="preserve">Será desclassificada a proposta vencedora que: </w:t>
      </w:r>
      <w:r>
        <w:rPr>
          <w:rFonts w:ascii="Times New Roman" w:hAnsi="Times New Roman" w:cs="Times New Roman"/>
          <w:i/>
          <w:color w:val="000000" w:themeColor="text1"/>
          <w:sz w:val="24"/>
        </w:rPr>
      </w:r>
      <w:r>
        <w:rPr>
          <w:rFonts w:ascii="Times New Roman" w:hAnsi="Times New Roman" w:cs="Times New Roman"/>
          <w:i/>
          <w:color w:val="000000" w:themeColor="text1"/>
          <w:sz w:val="24"/>
        </w:rPr>
      </w:r>
    </w:p>
    <w:p>
      <w:pPr>
        <w:pStyle w:val="1026"/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i/>
          <w:color w:val="000000" w:themeColor="text1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contiver vícios insanáveis</w:t>
      </w:r>
      <w:r>
        <w:rPr>
          <w:rFonts w:ascii="Times New Roman" w:hAnsi="Times New Roman" w:cs="Times New Roman"/>
          <w:iCs/>
          <w:color w:val="000000" w:themeColor="text1"/>
          <w:sz w:val="24"/>
        </w:rPr>
        <w:t xml:space="preserve">;</w:t>
      </w:r>
      <w:r>
        <w:rPr>
          <w:rFonts w:ascii="Times New Roman" w:hAnsi="Times New Roman" w:cs="Times New Roman"/>
          <w:i/>
          <w:color w:val="000000" w:themeColor="text1"/>
          <w:sz w:val="24"/>
        </w:rPr>
      </w:r>
      <w:r>
        <w:rPr>
          <w:rFonts w:ascii="Times New Roman" w:hAnsi="Times New Roman" w:cs="Times New Roman"/>
          <w:i/>
          <w:color w:val="000000" w:themeColor="text1"/>
          <w:sz w:val="24"/>
        </w:rPr>
      </w:r>
    </w:p>
    <w:p>
      <w:pPr>
        <w:pStyle w:val="1026"/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i/>
          <w:color w:val="000000" w:themeColor="text1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não obedecer às especificações técnicas pormenorizadas neste aviso ou em seus anexos</w:t>
      </w:r>
      <w:r>
        <w:rPr>
          <w:rFonts w:ascii="Times New Roman" w:hAnsi="Times New Roman" w:cs="Times New Roman"/>
          <w:iCs/>
          <w:color w:val="000000" w:themeColor="text1"/>
          <w:sz w:val="24"/>
        </w:rPr>
        <w:t xml:space="preserve">;</w:t>
      </w:r>
      <w:r>
        <w:rPr>
          <w:rFonts w:ascii="Times New Roman" w:hAnsi="Times New Roman" w:cs="Times New Roman"/>
          <w:i/>
          <w:color w:val="000000" w:themeColor="text1"/>
          <w:sz w:val="24"/>
        </w:rPr>
      </w:r>
      <w:r>
        <w:rPr>
          <w:rFonts w:ascii="Times New Roman" w:hAnsi="Times New Roman" w:cs="Times New Roman"/>
          <w:i/>
          <w:color w:val="000000" w:themeColor="text1"/>
          <w:sz w:val="24"/>
        </w:rPr>
      </w:r>
    </w:p>
    <w:p>
      <w:pPr>
        <w:pStyle w:val="1026"/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sz w:val="24"/>
        </w:rPr>
        <w:t xml:space="preserve">apresentar preços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inexequíveis ou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que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permanecerem acima do preço máximo definido para a contratação;</w:t>
      </w:r>
      <w:r>
        <w:rPr>
          <w:rFonts w:ascii="Times New Roman" w:hAnsi="Times New Roman" w:cs="Times New Roman"/>
          <w:color w:val="ff0000"/>
          <w:sz w:val="24"/>
        </w:rPr>
      </w:r>
      <w:r>
        <w:rPr>
          <w:rFonts w:ascii="Times New Roman" w:hAnsi="Times New Roman" w:cs="Times New Roman"/>
          <w:color w:val="ff0000"/>
          <w:sz w:val="24"/>
        </w:rPr>
      </w:r>
    </w:p>
    <w:p>
      <w:pPr>
        <w:pStyle w:val="1026"/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i/>
          <w:color w:val="000000" w:themeColor="text1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não tiver sua exequibilidade demonstrada, quando exigido pela Administração</w:t>
      </w:r>
      <w:r>
        <w:rPr>
          <w:rFonts w:ascii="Times New Roman" w:hAnsi="Times New Roman" w:cs="Times New Roman"/>
          <w:iCs/>
          <w:color w:val="000000" w:themeColor="text1"/>
          <w:sz w:val="24"/>
        </w:rPr>
        <w:t xml:space="preserve">;</w:t>
      </w:r>
      <w:r>
        <w:rPr>
          <w:rFonts w:ascii="Times New Roman" w:hAnsi="Times New Roman" w:cs="Times New Roman"/>
          <w:i/>
          <w:color w:val="000000" w:themeColor="text1"/>
          <w:sz w:val="24"/>
        </w:rPr>
      </w:r>
      <w:r>
        <w:rPr>
          <w:rFonts w:ascii="Times New Roman" w:hAnsi="Times New Roman" w:cs="Times New Roman"/>
          <w:i/>
          <w:color w:val="000000" w:themeColor="text1"/>
          <w:sz w:val="24"/>
        </w:rPr>
      </w:r>
    </w:p>
    <w:p>
      <w:pPr>
        <w:pStyle w:val="1026"/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i/>
          <w:color w:val="000000" w:themeColor="text1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apresentar desconformidade com quaisquer outras exigências deste aviso ou seus anexos, desde que insanável.</w:t>
      </w:r>
      <w:r>
        <w:rPr>
          <w:rFonts w:ascii="Times New Roman" w:hAnsi="Times New Roman" w:cs="Times New Roman"/>
          <w:i/>
          <w:color w:val="000000" w:themeColor="text1"/>
          <w:sz w:val="24"/>
        </w:rPr>
      </w:r>
      <w:r>
        <w:rPr>
          <w:rFonts w:ascii="Times New Roman" w:hAnsi="Times New Roman" w:cs="Times New Roman"/>
          <w:i/>
          <w:color w:val="000000" w:themeColor="text1"/>
          <w:sz w:val="24"/>
        </w:rPr>
      </w:r>
    </w:p>
    <w:p>
      <w:pPr>
        <w:pStyle w:val="1026"/>
        <w:numPr>
          <w:ilvl w:val="1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i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  <w:lang w:eastAsia="en-US"/>
        </w:rPr>
        <w:t xml:space="preserve">Quando</w:t>
      </w:r>
      <w:r>
        <w:rPr>
          <w:rFonts w:ascii="Times New Roman" w:hAnsi="Times New Roman" w:cs="Times New Roman"/>
          <w:sz w:val="24"/>
        </w:rPr>
        <w:t xml:space="preserve"> o fornecedor não conseguir comprovar que possui ou possuirá recursos suficientes para executar a contento o objeto, será considerada inexequível a proposta de preços ou menor lance que:</w:t>
      </w:r>
      <w:r>
        <w:rPr>
          <w:rFonts w:ascii="Times New Roman" w:hAnsi="Times New Roman" w:cs="Times New Roman"/>
          <w:i/>
          <w:color w:val="000000" w:themeColor="text1"/>
          <w:sz w:val="24"/>
        </w:rPr>
      </w:r>
      <w:r>
        <w:rPr>
          <w:rFonts w:ascii="Times New Roman" w:hAnsi="Times New Roman" w:cs="Times New Roman"/>
          <w:i/>
          <w:color w:val="000000" w:themeColor="text1"/>
          <w:sz w:val="24"/>
        </w:rPr>
      </w:r>
    </w:p>
    <w:p>
      <w:pPr>
        <w:pStyle w:val="1026"/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i/>
          <w:color w:val="000000" w:themeColor="text1"/>
          <w:sz w:val="24"/>
        </w:rPr>
      </w:pPr>
      <w:r>
        <w:rPr>
          <w:rFonts w:ascii="Times New Roman" w:hAnsi="Times New Roman" w:cs="Times New Roman"/>
          <w:sz w:val="24"/>
        </w:rPr>
        <w:t xml:space="preserve">for insuficiente para a cobertura dos custos da contratação, apresente preços global ou unitários simbólicos, irrisórios ou de valor zero, incompatíveis com os preços dos insumos e salários de mercado, acrescidos dos respec</w:t>
      </w:r>
      <w:r>
        <w:rPr>
          <w:rFonts w:ascii="Times New Roman" w:hAnsi="Times New Roman" w:cs="Times New Roman"/>
          <w:sz w:val="24"/>
        </w:rPr>
        <w:t xml:space="preserve">tivos encargos, ainda que o ato convocatório da dispensa não tenha estabelecido limites mínimos, exceto quando se referirem a materiais e instalações de propriedade do próprio fornecedor, para os quais ele renuncie a parcela ou à totalidade da remuneração.</w:t>
      </w:r>
      <w:r>
        <w:rPr>
          <w:rFonts w:ascii="Times New Roman" w:hAnsi="Times New Roman" w:cs="Times New Roman"/>
          <w:i/>
          <w:color w:val="000000" w:themeColor="text1"/>
          <w:sz w:val="24"/>
        </w:rPr>
      </w:r>
      <w:r>
        <w:rPr>
          <w:rFonts w:ascii="Times New Roman" w:hAnsi="Times New Roman" w:cs="Times New Roman"/>
          <w:i/>
          <w:color w:val="000000" w:themeColor="text1"/>
          <w:sz w:val="24"/>
        </w:rPr>
      </w:r>
    </w:p>
    <w:p>
      <w:pPr>
        <w:pStyle w:val="1026"/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sz w:val="24"/>
        </w:rPr>
        <w:t xml:space="preserve">apresentar um ou mais valores da planilha de custo que sejam inferiores àqueles fixados em instrumentos de caráter normativo obrigatório, tais como leis, medidas provisórias e convenções coletivas de trabalho vigentes.</w:t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pStyle w:val="1026"/>
        <w:numPr>
          <w:ilvl w:val="1"/>
          <w:numId w:val="1"/>
        </w:numPr>
        <w:pBdr/>
        <w:spacing w:after="120" w:before="120" w:line="276" w:lineRule="auto"/>
        <w:ind w:right="-15"/>
        <w:jc w:val="both"/>
        <w:rPr>
          <w:rFonts w:ascii="Times New Roman" w:hAnsi="Times New Roman" w:cs="Times New Roman"/>
          <w:color w:val="000000" w:themeColor="text1"/>
          <w:sz w:val="24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4"/>
          <w:lang w:eastAsia="en-US"/>
        </w:rPr>
        <w:t xml:space="preserve">Se houver indícios de inexequibilidade da proposta de preço, ou em caso da necessidade de esclarecimentos </w:t>
      </w:r>
      <w:r>
        <w:rPr>
          <w:rFonts w:ascii="Times New Roman" w:hAnsi="Times New Roman" w:cs="Times New Roman"/>
          <w:sz w:val="24"/>
        </w:rPr>
        <w:t xml:space="preserve">complementares</w:t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  <w:t xml:space="preserve">, poderão ser efetuadas diligências, para que</w:t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  <w:t xml:space="preserve">o fornecedor comprove a exequibilidade da proposta.  </w:t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</w:r>
    </w:p>
    <w:p>
      <w:pPr>
        <w:pStyle w:val="1026"/>
        <w:numPr>
          <w:ilvl w:val="1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4"/>
          <w:lang w:eastAsia="en-US"/>
        </w:rPr>
        <w:t xml:space="preserve">Erros no preenchimento da planilha </w:t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  <w:t xml:space="preserve">não</w:t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  <w:t xml:space="preserve"> constituem motivo para a </w:t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  <w:t xml:space="preserve">desclassificação</w:t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  <w:t xml:space="preserve"> da proposta. A planilha </w:t>
      </w:r>
      <w:r>
        <w:rPr>
          <w:rFonts w:ascii="Times New Roman" w:hAnsi="Times New Roman" w:cs="Times New Roman"/>
          <w:sz w:val="24"/>
        </w:rPr>
        <w:t xml:space="preserve">podera</w:t>
      </w:r>
      <w:r>
        <w:rPr>
          <w:rFonts w:ascii="Times New Roman" w:hAnsi="Times New Roman" w:cs="Times New Roman"/>
          <w:sz w:val="24"/>
        </w:rPr>
        <w:t xml:space="preserve">́</w:t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  <w:t xml:space="preserve"> ser ajustada pelo fornecedor, no prazo indicado pelo sistema, desde que não haja majoração do preço.</w:t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</w:r>
    </w:p>
    <w:p>
      <w:pPr>
        <w:pStyle w:val="1026"/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4"/>
          <w:lang w:eastAsia="en-US"/>
        </w:rPr>
        <w:t xml:space="preserve">O ajuste de que trata este dispositivo se limita a sanar erros ou falhas que não alterem a substância das propostas;</w:t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</w:r>
    </w:p>
    <w:p>
      <w:pPr>
        <w:pStyle w:val="1026"/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4"/>
          <w:lang w:eastAsia="en-US"/>
        </w:rPr>
        <w:t xml:space="preserve">Considera-se erro no preenchimento da planilha passível de correção a </w:t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  <w:t xml:space="preserve">indicação</w:t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  <w:t xml:space="preserve"> de recolhimento de impostos e </w:t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  <w:t xml:space="preserve">contribuições</w:t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  <w:t xml:space="preserve"> na forma do Simples Nacional, quando não cabível esse regime.</w:t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</w:r>
    </w:p>
    <w:p>
      <w:pPr>
        <w:pStyle w:val="1026"/>
        <w:numPr>
          <w:ilvl w:val="1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4"/>
          <w:lang w:eastAsia="en-US"/>
        </w:rPr>
        <w:t xml:space="preserve">Para fins de análise da proposta quanto ao cumprimento das especificações do objeto, poderá ser colhida a manifestação escrita do setor requisitante do serviço ou da área especializada no objeto.</w:t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</w:r>
    </w:p>
    <w:p>
      <w:pPr>
        <w:pStyle w:val="1026"/>
        <w:numPr>
          <w:ilvl w:val="1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4"/>
          <w:lang w:eastAsia="en-US"/>
        </w:rPr>
        <w:t xml:space="preserve">Se a proposta ou lance vencedor for desclassificado, será examinada a proposta ou lance subsequente, e, assim sucessivamente, na ordem de classificação.</w:t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</w:r>
    </w:p>
    <w:p>
      <w:pPr>
        <w:pStyle w:val="1026"/>
        <w:numPr>
          <w:ilvl w:val="1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4"/>
          <w:lang w:eastAsia="en-US"/>
        </w:rPr>
        <w:t xml:space="preserve">Havendo necessidade, a sessão será suspensa, informando-se no “chat” a nova data e horário para a sua continuidade.</w:t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</w:r>
    </w:p>
    <w:p>
      <w:pPr>
        <w:pStyle w:val="1026"/>
        <w:numPr>
          <w:ilvl w:val="1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4"/>
          <w:lang w:eastAsia="en-US"/>
        </w:rPr>
        <w:t xml:space="preserve">Encerrada a análise quanto à aceitação da proposta, será iniciada a fase de habilitação, observado o disposto neste Aviso de Contratação Direta. </w:t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</w:r>
      <w:r>
        <w:rPr>
          <w:rFonts w:ascii="Times New Roman" w:hAnsi="Times New Roman" w:cs="Times New Roman"/>
          <w:color w:val="000000" w:themeColor="text1"/>
          <w:sz w:val="24"/>
          <w:lang w:eastAsia="en-US"/>
        </w:rPr>
      </w:r>
    </w:p>
    <w:p>
      <w:pPr>
        <w:pStyle w:val="996"/>
        <w:pBdr/>
        <w:spacing/>
        <w:ind/>
        <w:rPr>
          <w:rFonts w:ascii="Times New Roman" w:hAnsi="Times New Roman" w:cs="Times New Roman"/>
          <w:sz w:val="24"/>
        </w:rPr>
      </w:pPr>
      <w:r/>
      <w:bookmarkStart w:id="19" w:name="_Toc142925866"/>
      <w:r>
        <w:rPr>
          <w:rFonts w:ascii="Times New Roman" w:hAnsi="Times New Roman" w:cs="Times New Roman"/>
          <w:sz w:val="24"/>
        </w:rPr>
        <w:t xml:space="preserve">HABILITAÇÃO</w:t>
      </w:r>
      <w:bookmarkEnd w:id="19"/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/>
        <w:contextualSpacing w:val="true"/>
        <w:jc w:val="both"/>
        <w:rPr>
          <w:rFonts w:ascii="Times New Roman" w:hAnsi="Times New Roman" w:cs="Times New Roman"/>
          <w:b/>
          <w:sz w:val="24"/>
          <w:lang w:eastAsia="ar-SA"/>
        </w:rPr>
      </w:pPr>
      <w:r>
        <w:rPr>
          <w:rFonts w:ascii="Times New Roman" w:hAnsi="Times New Roman" w:cs="Times New Roman"/>
          <w:sz w:val="24"/>
          <w:lang w:eastAsia="ar-SA"/>
        </w:rPr>
        <w:t xml:space="preserve">Os </w:t>
      </w:r>
      <w:r>
        <w:rPr>
          <w:rFonts w:ascii="Times New Roman" w:hAnsi="Times New Roman" w:cs="Times New Roman"/>
          <w:color w:val="000000"/>
          <w:sz w:val="24"/>
        </w:rPr>
        <w:t xml:space="preserve">documentos</w:t>
      </w:r>
      <w:r>
        <w:rPr>
          <w:rFonts w:ascii="Times New Roman" w:hAnsi="Times New Roman" w:cs="Times New Roman"/>
          <w:sz w:val="24"/>
          <w:lang w:eastAsia="ar-SA"/>
        </w:rPr>
        <w:t xml:space="preserve"> a serem exigidos para fins de habilitação</w:t>
      </w:r>
      <w:r>
        <w:rPr>
          <w:rFonts w:ascii="Times New Roman" w:hAnsi="Times New Roman" w:cs="Times New Roman"/>
          <w:sz w:val="24"/>
          <w:lang w:eastAsia="ar-SA"/>
        </w:rPr>
        <w:t xml:space="preserve">, </w:t>
      </w:r>
      <w:r>
        <w:rPr>
          <w:rFonts w:ascii="Times New Roman" w:hAnsi="Times New Roman" w:cs="Times New Roman"/>
          <w:b/>
          <w:sz w:val="24"/>
          <w:lang w:eastAsia="ar-SA"/>
        </w:rPr>
        <w:t xml:space="preserve">nos termos dos arts. 62 a 70 da Lei nº 14.133, de 2021,</w:t>
      </w:r>
      <w:r>
        <w:rPr>
          <w:rFonts w:ascii="Times New Roman" w:hAnsi="Times New Roman" w:cs="Times New Roman"/>
          <w:sz w:val="24"/>
          <w:lang w:eastAsia="ar-SA"/>
        </w:rPr>
        <w:t xml:space="preserve"> constam </w:t>
      </w:r>
      <w:r>
        <w:rPr>
          <w:rFonts w:ascii="Times New Roman" w:hAnsi="Times New Roman" w:cs="Times New Roman"/>
          <w:sz w:val="24"/>
          <w:lang w:eastAsia="ar-SA"/>
        </w:rPr>
        <w:t xml:space="preserve">do Termo de Referência </w:t>
      </w:r>
      <w:r>
        <w:rPr>
          <w:rFonts w:ascii="Times New Roman" w:hAnsi="Times New Roman" w:cs="Times New Roman"/>
          <w:sz w:val="24"/>
          <w:lang w:eastAsia="ar-SA"/>
        </w:rPr>
        <w:t xml:space="preserve">e serão solicitados do fornecedor mais bem classificado na fase de lances.</w:t>
      </w:r>
      <w:r>
        <w:rPr>
          <w:rFonts w:ascii="Times New Roman" w:hAnsi="Times New Roman" w:cs="Times New Roman"/>
          <w:b/>
          <w:sz w:val="24"/>
          <w:lang w:eastAsia="ar-SA"/>
        </w:rPr>
      </w:r>
      <w:r>
        <w:rPr>
          <w:rFonts w:ascii="Times New Roman" w:hAnsi="Times New Roman" w:cs="Times New Roman"/>
          <w:b/>
          <w:sz w:val="24"/>
          <w:lang w:eastAsia="ar-SA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/>
        <w:contextualSpacing w:val="true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</w:t>
      </w:r>
      <w:r>
        <w:rPr>
          <w:rFonts w:ascii="Times New Roman" w:hAnsi="Times New Roman" w:cs="Times New Roman"/>
          <w:sz w:val="24"/>
        </w:rPr>
        <w:t xml:space="preserve"> habilitação dos fornecedores será verificada por meio do SICAF, nos documentos por ele abrangidos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.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numPr>
          <w:ilvl w:val="2"/>
          <w:numId w:val="1"/>
        </w:numPr>
        <w:pBdr/>
        <w:spacing w:after="120" w:before="120" w:line="276" w:lineRule="auto"/>
        <w:ind/>
        <w:contextualSpacing w:val="true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É dever do fornecedor atualizar previamente as comprovações constantes do SICAF para que estejam vigentes na data da abertura da sessão pública, ou encaminhar, quando solicitado, a respectiva documentação atualizada.</w:t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numPr>
          <w:ilvl w:val="2"/>
          <w:numId w:val="1"/>
        </w:numPr>
        <w:pBdr/>
        <w:spacing w:after="120" w:before="120" w:line="276" w:lineRule="auto"/>
        <w:ind/>
        <w:contextualSpacing w:val="true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O descumprimento do subitem acima implicará a inabilitação do fornecedor, exceto se a consulta aos sítios eletrônicos oficiais emissores de certidões lograr êxito em encontrar a(s) certidão(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ões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) válida(s).</w:t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/>
        <w:contextualSpacing w:val="true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Na hipótese de nece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ssidade de envio de documentos complementares, indispensáveis à confirmação dos já apresentados para a habilitação, ou de documentos não constantes do SICAF, o fornecedor será convocado a encaminhá-los, em formato digital, por meio do sistema, no prazo de </w:t>
      </w:r>
      <w:r>
        <w:rPr>
          <w:rFonts w:ascii="Times New Roman" w:hAnsi="Times New Roman" w:cs="Times New Roman"/>
          <w:color w:val="ff0000"/>
          <w:sz w:val="24"/>
        </w:rPr>
        <w:t xml:space="preserve">........,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sob pena de inabilitação. (</w:t>
      </w:r>
      <w:hyperlink r:id="rId31" w:tooltip="https://www.in.gov.br/en/web/dou/-/instrucao-normativa-seges/me-n-67-de-8-de-julho-de-2021-330985107#art19§3" w:anchor="art19§3" w:history="1">
        <w:r>
          <w:rPr>
            <w:rStyle w:val="1050"/>
            <w:rFonts w:ascii="Times New Roman" w:hAnsi="Times New Roman" w:cs="Times New Roman"/>
            <w:sz w:val="24"/>
          </w:rPr>
          <w:t xml:space="preserve">art. 19, § 3º, da IN Seges/ME nº 67, de 2021</w:t>
        </w:r>
      </w:hyperlink>
      <w:r>
        <w:rPr>
          <w:rFonts w:ascii="Times New Roman" w:hAnsi="Times New Roman" w:cs="Times New Roman"/>
          <w:color w:val="000000" w:themeColor="text1"/>
          <w:sz w:val="24"/>
        </w:rPr>
        <w:t xml:space="preserve">).</w:t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/>
        <w:contextualSpacing w:val="true"/>
        <w:jc w:val="both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Somente haverá a necessidade de comprovação do preenchimento de requisitos mediante apresentação dos documentos originais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não-digitais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quando houver dúvida em relação à integridade do documento digital.</w:t>
      </w:r>
      <w:r>
        <w:rPr>
          <w:rFonts w:ascii="Times New Roman" w:hAnsi="Times New Roman" w:cs="Times New Roman"/>
          <w:b/>
          <w:bCs/>
          <w:sz w:val="24"/>
        </w:rPr>
      </w:r>
      <w:r>
        <w:rPr>
          <w:rFonts w:ascii="Times New Roman" w:hAnsi="Times New Roman" w:cs="Times New Roman"/>
          <w:b/>
          <w:bCs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/>
        <w:contextualSpacing w:val="true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Não serão aceitos documentos de habilitação com indicação de CNPJ/CPF diferentes, salvo aqueles legalmente permitidos.</w:t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/>
        <w:contextualSpacing w:val="true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Se o fornecedor for a matriz, todos os documentos deverão estar em nome d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a matriz, e se o fornecedor for a filial, todos os documentos deverão estar em nome da filial, exceto para atestados de capacidade técnica, e no caso daqueles documentos que, pela própria natureza, comprovadamente, forem emitidos somente em nome da matriz.</w:t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/>
        <w:contextualSpacing w:val="true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Serão aceitos registros de CNPJ de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fornecedor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matriz e filial com diferenças de números de documentos pertinentes ao CND e ao CRF/FGTS, quando for comprovada a centralização do recolhimento dessas contribuições.</w:t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/>
        <w:contextualSpacing w:val="true"/>
        <w:jc w:val="both"/>
        <w:rPr>
          <w:rFonts w:ascii="Times New Roman" w:hAnsi="Times New Roman" w:cs="Times New Roman"/>
          <w:iCs/>
          <w:color w:val="000000" w:themeColor="text1"/>
          <w:sz w:val="24"/>
        </w:rPr>
      </w:pPr>
      <w:r>
        <w:rPr>
          <w:rFonts w:ascii="Times New Roman" w:hAnsi="Times New Roman" w:cs="Times New Roman"/>
          <w:iCs/>
          <w:color w:val="000000" w:themeColor="text1"/>
          <w:sz w:val="24"/>
        </w:rPr>
        <w:t xml:space="preserve">O fornecedor provisoriamente vencedor em um item, que estiver concorrendo em outro item</w:t>
      </w:r>
      <w:r>
        <w:rPr>
          <w:rFonts w:ascii="Times New Roman" w:hAnsi="Times New Roman" w:cs="Times New Roman"/>
          <w:iCs/>
          <w:color w:val="000000" w:themeColor="text1"/>
          <w:sz w:val="24"/>
        </w:rPr>
        <w:t xml:space="preserve">, ficará obrigado a comprovar os requisitos de habilitação cumulativamente, isto é, somando as exigências do item em que venceu às do item em que estiver concorrendo, e assim sucessivamente, sob pena de inabilitação, além da aplicação das sanções cabíveis.</w:t>
      </w:r>
      <w:r>
        <w:rPr>
          <w:rFonts w:ascii="Times New Roman" w:hAnsi="Times New Roman" w:cs="Times New Roman"/>
          <w:iCs/>
          <w:color w:val="000000" w:themeColor="text1"/>
          <w:sz w:val="24"/>
        </w:rPr>
      </w:r>
      <w:r>
        <w:rPr>
          <w:rFonts w:ascii="Times New Roman" w:hAnsi="Times New Roman" w:cs="Times New Roman"/>
          <w:iCs/>
          <w:color w:val="000000" w:themeColor="text1"/>
          <w:sz w:val="24"/>
        </w:rPr>
      </w:r>
    </w:p>
    <w:p>
      <w:pPr>
        <w:pBdr/>
        <w:spacing w:after="120" w:before="120" w:line="276" w:lineRule="auto"/>
        <w:ind w:left="1224"/>
        <w:contextualSpacing w:val="true"/>
        <w:jc w:val="both"/>
        <w:rPr>
          <w:rFonts w:ascii="Times New Roman" w:hAnsi="Times New Roman" w:cs="Times New Roman"/>
          <w:iCs/>
          <w:color w:val="ff0000"/>
          <w:sz w:val="24"/>
        </w:rPr>
      </w:pPr>
      <w:r>
        <w:rPr>
          <w:rFonts w:ascii="Times New Roman" w:hAnsi="Times New Roman" w:cs="Times New Roman"/>
          <w:iCs/>
          <w:color w:val="ff0000"/>
          <w:sz w:val="24"/>
        </w:rPr>
      </w:r>
      <w:r>
        <w:rPr>
          <w:rFonts w:ascii="Times New Roman" w:hAnsi="Times New Roman" w:cs="Times New Roman"/>
          <w:iCs/>
          <w:color w:val="ff0000"/>
          <w:sz w:val="24"/>
        </w:rPr>
      </w:r>
      <w:r>
        <w:rPr>
          <w:rFonts w:ascii="Times New Roman" w:hAnsi="Times New Roman" w:cs="Times New Roman"/>
          <w:iCs/>
          <w:color w:val="ff0000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/>
        <w:contextualSpacing w:val="true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Havendo </w:t>
      </w:r>
      <w:r>
        <w:rPr>
          <w:rFonts w:ascii="Times New Roman" w:hAnsi="Times New Roman" w:cs="Times New Roman"/>
          <w:iCs/>
          <w:sz w:val="24"/>
        </w:rPr>
        <w:t xml:space="preserve">necessidade</w:t>
      </w:r>
      <w:r>
        <w:rPr>
          <w:rFonts w:ascii="Times New Roman" w:hAnsi="Times New Roman" w:cs="Times New Roman"/>
          <w:bCs/>
          <w:sz w:val="24"/>
        </w:rPr>
        <w:t xml:space="preserve"> de analisar minuciosamente os documentos exigidos, a sessão será suspensa, sendo informada a nova data e horário para a sua continuidade.</w:t>
      </w:r>
      <w:r>
        <w:rPr>
          <w:rFonts w:ascii="Times New Roman" w:hAnsi="Times New Roman" w:cs="Times New Roman"/>
          <w:bCs/>
          <w:sz w:val="24"/>
        </w:rPr>
      </w:r>
      <w:r>
        <w:rPr>
          <w:rFonts w:ascii="Times New Roman" w:hAnsi="Times New Roman" w:cs="Times New Roman"/>
          <w:bCs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/>
        <w:contextualSpacing w:val="true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Será inabilitado o fornecedor que não comprovar sua habilitação, seja por não apresentar </w:t>
      </w:r>
      <w:r>
        <w:rPr>
          <w:rFonts w:ascii="Times New Roman" w:hAnsi="Times New Roman" w:cs="Times New Roman"/>
          <w:iCs/>
          <w:sz w:val="24"/>
        </w:rPr>
        <w:t xml:space="preserve">quaisquer</w:t>
      </w:r>
      <w:r>
        <w:rPr>
          <w:rFonts w:ascii="Times New Roman" w:hAnsi="Times New Roman" w:cs="Times New Roman"/>
          <w:color w:val="000000"/>
          <w:sz w:val="24"/>
        </w:rPr>
        <w:t xml:space="preserve"> dos </w:t>
      </w:r>
      <w:r>
        <w:rPr>
          <w:rFonts w:ascii="Times New Roman" w:hAnsi="Times New Roman" w:cs="Times New Roman"/>
          <w:bCs/>
          <w:sz w:val="24"/>
        </w:rPr>
        <w:t xml:space="preserve">documentos</w:t>
      </w:r>
      <w:r>
        <w:rPr>
          <w:rFonts w:ascii="Times New Roman" w:hAnsi="Times New Roman" w:cs="Times New Roman"/>
          <w:color w:val="000000"/>
          <w:sz w:val="24"/>
        </w:rPr>
        <w:t xml:space="preserve"> exigidos, ou apresentá-los em desacordo com o estabelecido neste Aviso de Contratação Direta.</w:t>
      </w:r>
      <w:r>
        <w:rPr>
          <w:rFonts w:ascii="Times New Roman" w:hAnsi="Times New Roman" w:cs="Times New Roman"/>
          <w:color w:val="000000"/>
          <w:sz w:val="24"/>
        </w:rPr>
      </w:r>
      <w:r>
        <w:rPr>
          <w:rFonts w:ascii="Times New Roman" w:hAnsi="Times New Roman" w:cs="Times New Roman"/>
          <w:color w:val="000000"/>
          <w:sz w:val="24"/>
        </w:rPr>
      </w:r>
    </w:p>
    <w:p>
      <w:pPr>
        <w:numPr>
          <w:ilvl w:val="2"/>
          <w:numId w:val="1"/>
        </w:numPr>
        <w:pBdr/>
        <w:spacing w:after="120" w:before="120" w:line="276" w:lineRule="auto"/>
        <w:ind/>
        <w:contextualSpacing w:val="true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Na hipótese de o fornecedor não atender às exigências para a habilitação, o órgão ou entidade examinará a proposta subsequente, e assim </w:t>
      </w:r>
      <w:r>
        <w:rPr>
          <w:rFonts w:ascii="Times New Roman" w:hAnsi="Times New Roman" w:cs="Times New Roman"/>
          <w:color w:val="000000"/>
          <w:sz w:val="24"/>
        </w:rPr>
        <w:t xml:space="preserve">sucessivamente, na ordem de classificação, até a apuração de uma proposta que atenda às especificações do objeto e as condições de habilitação</w:t>
      </w:r>
      <w:r>
        <w:rPr>
          <w:rFonts w:ascii="Times New Roman" w:hAnsi="Times New Roman" w:cs="Times New Roman"/>
          <w:color w:val="000000"/>
          <w:sz w:val="24"/>
        </w:rPr>
      </w:r>
      <w:r>
        <w:rPr>
          <w:rFonts w:ascii="Times New Roman" w:hAnsi="Times New Roman" w:cs="Times New Roman"/>
          <w:color w:val="000000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/>
        <w:contextualSpacing w:val="true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Cs/>
          <w:sz w:val="24"/>
        </w:rPr>
        <w:t xml:space="preserve">Constatado o atendimento às exigências de habilitação, o fornecedor será habilitado.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pStyle w:val="996"/>
        <w:pBdr/>
        <w:spacing/>
        <w:ind/>
        <w:rPr>
          <w:rFonts w:ascii="Times New Roman" w:hAnsi="Times New Roman" w:cs="Times New Roman"/>
          <w:sz w:val="24"/>
        </w:rPr>
      </w:pPr>
      <w:r/>
      <w:bookmarkStart w:id="20" w:name="_Toc142925869"/>
      <w:r>
        <w:rPr>
          <w:rFonts w:ascii="Times New Roman" w:hAnsi="Times New Roman" w:cs="Times New Roman"/>
          <w:sz w:val="24"/>
        </w:rPr>
        <w:t xml:space="preserve">CONTRATAÇÃO</w:t>
      </w:r>
      <w:bookmarkEnd w:id="20"/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eastAsia="Arial" w:cs="Times New Roman"/>
          <w:color w:val="000000"/>
          <w:sz w:val="24"/>
        </w:rPr>
      </w:pPr>
      <w:r>
        <w:rPr>
          <w:rFonts w:ascii="Times New Roman" w:hAnsi="Times New Roman" w:eastAsia="Arial" w:cs="Times New Roman"/>
          <w:color w:val="000000"/>
          <w:sz w:val="24"/>
        </w:rPr>
        <w:t xml:space="preserve">Após a homologação e adjudicação, caso se conclua pela contratação, será firmado Termo de Contrato ou emitido instrumento equivalente.</w:t>
      </w:r>
      <w:r>
        <w:rPr>
          <w:rFonts w:ascii="Times New Roman" w:hAnsi="Times New Roman" w:eastAsia="Arial" w:cs="Times New Roman"/>
          <w:color w:val="000000"/>
          <w:sz w:val="24"/>
        </w:rPr>
      </w:r>
      <w:r>
        <w:rPr>
          <w:rFonts w:ascii="Times New Roman" w:hAnsi="Times New Roman" w:eastAsia="Arial" w:cs="Times New Roman"/>
          <w:color w:val="000000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eastAsia="Arial" w:cs="Times New Roman"/>
          <w:color w:val="000000"/>
          <w:sz w:val="24"/>
        </w:rPr>
      </w:pPr>
      <w:r>
        <w:rPr>
          <w:rFonts w:ascii="Times New Roman" w:hAnsi="Times New Roman" w:eastAsia="Arial" w:cs="Times New Roman"/>
          <w:color w:val="000000"/>
          <w:sz w:val="24"/>
        </w:rPr>
        <w:t xml:space="preserve">O adjudicatário terá o prazo de </w:t>
      </w:r>
      <w:r>
        <w:rPr>
          <w:rFonts w:ascii="Times New Roman" w:hAnsi="Times New Roman" w:eastAsia="Arial" w:cs="Times New Roman"/>
          <w:color w:val="000000"/>
          <w:sz w:val="24"/>
        </w:rPr>
        <w:t xml:space="preserve">10</w:t>
      </w:r>
      <w:r>
        <w:rPr>
          <w:rFonts w:ascii="Times New Roman" w:hAnsi="Times New Roman" w:eastAsia="Arial" w:cs="Times New Roman"/>
          <w:iCs/>
          <w:color w:val="000000" w:themeColor="text1"/>
          <w:sz w:val="24"/>
        </w:rPr>
        <w:t xml:space="preserve">(</w:t>
      </w:r>
      <w:r>
        <w:rPr>
          <w:rFonts w:ascii="Times New Roman" w:hAnsi="Times New Roman" w:eastAsia="Arial" w:cs="Times New Roman"/>
          <w:iCs/>
          <w:color w:val="000000" w:themeColor="text1"/>
          <w:sz w:val="24"/>
        </w:rPr>
        <w:t xml:space="preserve">DEZ</w:t>
      </w:r>
      <w:r>
        <w:rPr>
          <w:rFonts w:ascii="Times New Roman" w:hAnsi="Times New Roman" w:eastAsia="Arial" w:cs="Times New Roman"/>
          <w:iCs/>
          <w:color w:val="000000" w:themeColor="text1"/>
          <w:sz w:val="24"/>
        </w:rPr>
        <w:t xml:space="preserve">) dias úteis, contados a partir da data de sua convocação, para assinar o Termo de Contrato </w:t>
      </w:r>
      <w:r>
        <w:rPr>
          <w:rFonts w:ascii="Times New Roman" w:hAnsi="Times New Roman" w:eastAsia="Arial" w:cs="Times New Roman"/>
          <w:b/>
          <w:bCs/>
          <w:iCs/>
          <w:color w:val="000000" w:themeColor="text1"/>
          <w:sz w:val="24"/>
          <w:u w:val="single"/>
        </w:rPr>
        <w:t xml:space="preserve">OU </w:t>
      </w:r>
      <w:r>
        <w:rPr>
          <w:rFonts w:ascii="Times New Roman" w:hAnsi="Times New Roman" w:eastAsia="Arial" w:cs="Times New Roman"/>
          <w:iCs/>
          <w:color w:val="000000" w:themeColor="text1"/>
          <w:sz w:val="24"/>
        </w:rPr>
        <w:t xml:space="preserve">aceitar instrumento equivalente, conforme o caso (Nota de Empenho/Carta Contrato/Autorização), </w:t>
      </w:r>
      <w:r>
        <w:rPr>
          <w:rFonts w:ascii="Times New Roman" w:hAnsi="Times New Roman" w:eastAsia="Arial" w:cs="Times New Roman"/>
          <w:color w:val="000000"/>
          <w:sz w:val="24"/>
        </w:rPr>
        <w:t xml:space="preserve">sob pena de decair o direito à contratação, sem prejuízo das sanções previstas neste Aviso de Contratação Direta. </w:t>
      </w:r>
      <w:r>
        <w:rPr>
          <w:rFonts w:ascii="Times New Roman" w:hAnsi="Times New Roman" w:eastAsia="Arial" w:cs="Times New Roman"/>
          <w:color w:val="000000"/>
          <w:sz w:val="24"/>
        </w:rPr>
      </w:r>
      <w:r>
        <w:rPr>
          <w:rFonts w:ascii="Times New Roman" w:hAnsi="Times New Roman" w:eastAsia="Arial" w:cs="Times New Roman"/>
          <w:color w:val="000000"/>
          <w:sz w:val="24"/>
        </w:rPr>
      </w:r>
    </w:p>
    <w:p>
      <w:pPr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eastAsia="Arial" w:cs="Times New Roman"/>
          <w:color w:val="000000"/>
          <w:sz w:val="24"/>
        </w:rPr>
      </w:pPr>
      <w:r>
        <w:rPr>
          <w:rFonts w:ascii="Times New Roman" w:hAnsi="Times New Roman" w:eastAsia="Arial" w:cs="Times New Roman"/>
          <w:color w:val="000000"/>
          <w:sz w:val="24"/>
        </w:rPr>
        <w:t xml:space="preserve">Alternativamente à convocação para comparecer perante o órgão ou entidade para a assinatura do Termo de Contrato, a Admi</w:t>
      </w:r>
      <w:r>
        <w:rPr>
          <w:rFonts w:ascii="Times New Roman" w:hAnsi="Times New Roman" w:eastAsia="Arial" w:cs="Times New Roman"/>
          <w:color w:val="000000"/>
          <w:sz w:val="24"/>
        </w:rPr>
        <w:t xml:space="preserve">nistração poderá encaminhá-lo para assinatura, mediante correspondência postal com aviso de recebimento (AR), disponibilização de acesso à sistema de processo eletrônico para esse fim ou outro meio eletrônico, para que seja assinado e devolvido no prazo de</w:t>
      </w:r>
      <w:r>
        <w:rPr>
          <w:rFonts w:ascii="Times New Roman" w:hAnsi="Times New Roman" w:eastAsia="Arial" w:cs="Times New Roman"/>
          <w:color w:val="000000"/>
          <w:sz w:val="24"/>
        </w:rPr>
        <w:t xml:space="preserve"> 10</w:t>
      </w:r>
      <w:r>
        <w:rPr>
          <w:rFonts w:ascii="Times New Roman" w:hAnsi="Times New Roman" w:eastAsia="Arial" w:cs="Times New Roman"/>
          <w:color w:val="000000"/>
          <w:sz w:val="24"/>
        </w:rPr>
        <w:t xml:space="preserve"> (</w:t>
      </w:r>
      <w:r>
        <w:rPr>
          <w:rFonts w:ascii="Times New Roman" w:hAnsi="Times New Roman" w:eastAsia="Arial" w:cs="Times New Roman"/>
          <w:color w:val="000000"/>
          <w:sz w:val="24"/>
        </w:rPr>
        <w:t xml:space="preserve">DEZ</w:t>
      </w:r>
      <w:r>
        <w:rPr>
          <w:rFonts w:ascii="Times New Roman" w:hAnsi="Times New Roman" w:eastAsia="Arial" w:cs="Times New Roman"/>
          <w:color w:val="000000"/>
          <w:sz w:val="24"/>
        </w:rPr>
        <w:t xml:space="preserve">) dias, a contar da data de seu recebimento ou da disponibilização do acesso ao sistema de processo eletrônico.</w:t>
      </w:r>
      <w:r>
        <w:rPr>
          <w:rFonts w:ascii="Times New Roman" w:hAnsi="Times New Roman" w:eastAsia="Arial" w:cs="Times New Roman"/>
          <w:color w:val="000000"/>
          <w:sz w:val="24"/>
        </w:rPr>
      </w:r>
      <w:r>
        <w:rPr>
          <w:rFonts w:ascii="Times New Roman" w:hAnsi="Times New Roman" w:eastAsia="Arial" w:cs="Times New Roman"/>
          <w:color w:val="000000"/>
          <w:sz w:val="24"/>
        </w:rPr>
      </w:r>
    </w:p>
    <w:p>
      <w:pPr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eastAsia="Arial" w:cs="Times New Roman"/>
          <w:color w:val="000000"/>
          <w:sz w:val="24"/>
        </w:rPr>
      </w:pPr>
      <w:r>
        <w:rPr>
          <w:rFonts w:ascii="Times New Roman" w:hAnsi="Times New Roman" w:eastAsia="Arial" w:cs="Times New Roman"/>
          <w:color w:val="000000"/>
          <w:sz w:val="24"/>
        </w:rPr>
        <w:t xml:space="preserve">O prazo previsto no subitem anterior poderá ser prorrogado, por igual período, por solicitação justificada do adjudicatário e aceita pela Administração.</w:t>
      </w:r>
      <w:r>
        <w:rPr>
          <w:rFonts w:ascii="Times New Roman" w:hAnsi="Times New Roman" w:eastAsia="Arial" w:cs="Times New Roman"/>
          <w:color w:val="000000"/>
          <w:sz w:val="24"/>
        </w:rPr>
      </w:r>
      <w:r>
        <w:rPr>
          <w:rFonts w:ascii="Times New Roman" w:hAnsi="Times New Roman" w:eastAsia="Arial" w:cs="Times New Roman"/>
          <w:color w:val="000000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eastAsia="Arial" w:cs="Times New Roman"/>
          <w:iCs/>
          <w:color w:val="000000" w:themeColor="text1"/>
          <w:sz w:val="24"/>
        </w:rPr>
      </w:pPr>
      <w:r>
        <w:rPr>
          <w:rFonts w:ascii="Times New Roman" w:hAnsi="Times New Roman" w:eastAsia="Arial" w:cs="Times New Roman"/>
          <w:iCs/>
          <w:color w:val="000000" w:themeColor="text1"/>
          <w:sz w:val="24"/>
        </w:rPr>
        <w:t xml:space="preserve">O Aceite da Nota de Empenho ou do instrumento equivalente, emitida ao fornecedor adjudicado, implica o reconhecimento de que:</w:t>
      </w:r>
      <w:r>
        <w:rPr>
          <w:rFonts w:ascii="Times New Roman" w:hAnsi="Times New Roman" w:eastAsia="Arial" w:cs="Times New Roman"/>
          <w:iCs/>
          <w:color w:val="000000" w:themeColor="text1"/>
          <w:sz w:val="24"/>
        </w:rPr>
      </w:r>
      <w:r>
        <w:rPr>
          <w:rFonts w:ascii="Times New Roman" w:hAnsi="Times New Roman" w:eastAsia="Arial" w:cs="Times New Roman"/>
          <w:iCs/>
          <w:color w:val="000000" w:themeColor="text1"/>
          <w:sz w:val="24"/>
        </w:rPr>
      </w:r>
    </w:p>
    <w:p>
      <w:pPr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eastAsia="Arial" w:cs="Times New Roman"/>
          <w:iCs/>
          <w:color w:val="000000" w:themeColor="text1"/>
          <w:sz w:val="24"/>
        </w:rPr>
      </w:pPr>
      <w:r>
        <w:rPr>
          <w:rFonts w:ascii="Times New Roman" w:hAnsi="Times New Roman" w:eastAsia="Arial" w:cs="Times New Roman"/>
          <w:iCs/>
          <w:color w:val="000000" w:themeColor="text1"/>
          <w:sz w:val="24"/>
        </w:rPr>
        <w:t xml:space="preserve">referida Nota está substituindo o contrato, aplicando-se à relação de negócios ali estabelecida as disposições da </w:t>
      </w:r>
      <w:hyperlink r:id="rId32" w:tooltip="http://www.planalto.gov.br/ccivil_03/_ato2019-2022/2021/lei/L14133.htm" w:history="1">
        <w:r>
          <w:rPr>
            <w:rStyle w:val="1050"/>
            <w:rFonts w:ascii="Times New Roman" w:hAnsi="Times New Roman" w:eastAsia="Arial" w:cs="Times New Roman"/>
            <w:iCs/>
            <w:color w:val="000000" w:themeColor="text1"/>
            <w:sz w:val="24"/>
          </w:rPr>
          <w:t xml:space="preserve">Lei nº 14.133, de 2021</w:t>
        </w:r>
      </w:hyperlink>
      <w:r>
        <w:rPr>
          <w:rFonts w:ascii="Times New Roman" w:hAnsi="Times New Roman" w:eastAsia="Arial" w:cs="Times New Roman"/>
          <w:iCs/>
          <w:color w:val="000000" w:themeColor="text1"/>
          <w:sz w:val="24"/>
        </w:rPr>
        <w:t xml:space="preserve">;</w:t>
      </w:r>
      <w:r>
        <w:rPr>
          <w:rFonts w:ascii="Times New Roman" w:hAnsi="Times New Roman" w:eastAsia="Arial" w:cs="Times New Roman"/>
          <w:iCs/>
          <w:color w:val="000000" w:themeColor="text1"/>
          <w:sz w:val="24"/>
        </w:rPr>
      </w:r>
      <w:r>
        <w:rPr>
          <w:rFonts w:ascii="Times New Roman" w:hAnsi="Times New Roman" w:eastAsia="Arial" w:cs="Times New Roman"/>
          <w:iCs/>
          <w:color w:val="000000" w:themeColor="text1"/>
          <w:sz w:val="24"/>
        </w:rPr>
      </w:r>
    </w:p>
    <w:p>
      <w:pPr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eastAsia="Arial" w:cs="Times New Roman"/>
          <w:iCs/>
          <w:color w:val="000000" w:themeColor="text1"/>
          <w:sz w:val="24"/>
        </w:rPr>
      </w:pPr>
      <w:r>
        <w:rPr>
          <w:rFonts w:ascii="Times New Roman" w:hAnsi="Times New Roman" w:eastAsia="Arial" w:cs="Times New Roman"/>
          <w:iCs/>
          <w:color w:val="000000" w:themeColor="text1"/>
          <w:sz w:val="24"/>
        </w:rPr>
        <w:t xml:space="preserve">a contratada se vincula à sua proposta e às previsões contidas no Aviso de Contratação Direta e seus anexos;</w:t>
      </w:r>
      <w:r>
        <w:rPr>
          <w:rFonts w:ascii="Times New Roman" w:hAnsi="Times New Roman" w:eastAsia="Arial" w:cs="Times New Roman"/>
          <w:iCs/>
          <w:color w:val="000000" w:themeColor="text1"/>
          <w:sz w:val="24"/>
        </w:rPr>
      </w:r>
      <w:r>
        <w:rPr>
          <w:rFonts w:ascii="Times New Roman" w:hAnsi="Times New Roman" w:eastAsia="Arial" w:cs="Times New Roman"/>
          <w:iCs/>
          <w:color w:val="000000" w:themeColor="text1"/>
          <w:sz w:val="24"/>
        </w:rPr>
      </w:r>
    </w:p>
    <w:p>
      <w:pPr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eastAsia="Arial" w:cs="Times New Roman"/>
          <w:iCs/>
          <w:color w:val="000000" w:themeColor="text1"/>
          <w:sz w:val="24"/>
        </w:rPr>
      </w:pPr>
      <w:r>
        <w:rPr>
          <w:rFonts w:ascii="Times New Roman" w:hAnsi="Times New Roman" w:eastAsia="Arial" w:cs="Times New Roman"/>
          <w:iCs/>
          <w:color w:val="000000" w:themeColor="text1"/>
          <w:sz w:val="24"/>
        </w:rPr>
        <w:t xml:space="preserve">a contratada reconhece que as hipóteses de rescisão são aquelas previstas nos </w:t>
      </w:r>
      <w:hyperlink r:id="rId33" w:tooltip="http://www.planalto.gov.br/ccivil_03/_ato2019-2022/2021/lei/L14133.htm#art137" w:anchor="art137" w:history="1">
        <w:r>
          <w:rPr>
            <w:rStyle w:val="1050"/>
            <w:rFonts w:ascii="Times New Roman" w:hAnsi="Times New Roman" w:eastAsia="Arial" w:cs="Times New Roman"/>
            <w:iCs/>
            <w:color w:val="000000" w:themeColor="text1"/>
            <w:sz w:val="24"/>
          </w:rPr>
          <w:t xml:space="preserve">artigos 137 e 138 da Lei nº 14.133, de 2021</w:t>
        </w:r>
      </w:hyperlink>
      <w:r>
        <w:rPr>
          <w:rFonts w:ascii="Times New Roman" w:hAnsi="Times New Roman" w:eastAsia="Arial" w:cs="Times New Roman"/>
          <w:iCs/>
          <w:color w:val="000000" w:themeColor="text1"/>
          <w:sz w:val="24"/>
        </w:rPr>
        <w:t xml:space="preserve"> e reconhece os direitos da Administração previstos nos </w:t>
      </w:r>
      <w:hyperlink r:id="rId34" w:tooltip="http://www.planalto.gov.br/ccivil_03/_ato2019-2022/2021/lei/L14133.htm#art137" w:anchor="art137" w:history="1">
        <w:r>
          <w:rPr>
            <w:rStyle w:val="1050"/>
            <w:rFonts w:ascii="Times New Roman" w:hAnsi="Times New Roman" w:eastAsia="Arial" w:cs="Times New Roman"/>
            <w:iCs/>
            <w:color w:val="000000" w:themeColor="text1"/>
            <w:sz w:val="24"/>
          </w:rPr>
          <w:t xml:space="preserve">artigos 137 a 139 da mesma Lei</w:t>
        </w:r>
      </w:hyperlink>
      <w:r>
        <w:rPr>
          <w:rFonts w:ascii="Times New Roman" w:hAnsi="Times New Roman" w:eastAsia="Arial" w:cs="Times New Roman"/>
          <w:iCs/>
          <w:color w:val="000000" w:themeColor="text1"/>
          <w:sz w:val="24"/>
        </w:rPr>
        <w:t xml:space="preserve">.</w:t>
      </w:r>
      <w:r>
        <w:rPr>
          <w:rFonts w:ascii="Times New Roman" w:hAnsi="Times New Roman" w:eastAsia="Arial" w:cs="Times New Roman"/>
          <w:iCs/>
          <w:color w:val="000000" w:themeColor="text1"/>
          <w:sz w:val="24"/>
        </w:rPr>
      </w:r>
      <w:r>
        <w:rPr>
          <w:rFonts w:ascii="Times New Roman" w:hAnsi="Times New Roman" w:eastAsia="Arial" w:cs="Times New Roman"/>
          <w:iCs/>
          <w:color w:val="000000" w:themeColor="text1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eastAsia="Arial" w:cs="Times New Roman"/>
          <w:color w:val="000000"/>
          <w:sz w:val="24"/>
        </w:rPr>
      </w:pPr>
      <w:r>
        <w:rPr>
          <w:rFonts w:ascii="Times New Roman" w:hAnsi="Times New Roman" w:eastAsia="Arial" w:cs="Times New Roman"/>
          <w:color w:val="000000"/>
          <w:sz w:val="24"/>
        </w:rPr>
        <w:t xml:space="preserve">O prazo de vigência da contratação é o estabelecido no Termo de Referência. </w:t>
      </w:r>
      <w:r>
        <w:rPr>
          <w:rFonts w:ascii="Times New Roman" w:hAnsi="Times New Roman" w:eastAsia="Arial" w:cs="Times New Roman"/>
          <w:color w:val="000000"/>
          <w:sz w:val="24"/>
        </w:rPr>
      </w:r>
      <w:r>
        <w:rPr>
          <w:rFonts w:ascii="Times New Roman" w:hAnsi="Times New Roman" w:eastAsia="Arial" w:cs="Times New Roman"/>
          <w:color w:val="000000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eastAsia="Arial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Na assinatura do contrato ou do instrumento equivalente será exigida a comprovação das condições de habilitação e contratação consignadas neste aviso, que deverão ser mantidas pelo fornecedor durante a vigência do contrato.</w:t>
      </w:r>
      <w:r>
        <w:rPr>
          <w:rFonts w:ascii="Times New Roman" w:hAnsi="Times New Roman" w:eastAsia="Arial" w:cs="Times New Roman"/>
          <w:color w:val="000000"/>
          <w:sz w:val="24"/>
        </w:rPr>
      </w:r>
      <w:r>
        <w:rPr>
          <w:rFonts w:ascii="Times New Roman" w:hAnsi="Times New Roman" w:eastAsia="Arial" w:cs="Times New Roman"/>
          <w:color w:val="000000"/>
          <w:sz w:val="24"/>
        </w:rPr>
      </w:r>
    </w:p>
    <w:p>
      <w:pPr>
        <w:pStyle w:val="996"/>
        <w:pBdr/>
        <w:spacing/>
        <w:ind/>
        <w:rPr>
          <w:rFonts w:ascii="Times New Roman" w:hAnsi="Times New Roman" w:cs="Times New Roman"/>
          <w:sz w:val="24"/>
        </w:rPr>
      </w:pPr>
      <w:r/>
      <w:bookmarkStart w:id="25" w:name="_Toc142925870"/>
      <w:r>
        <w:rPr>
          <w:rFonts w:ascii="Times New Roman" w:hAnsi="Times New Roman" w:cs="Times New Roman"/>
          <w:sz w:val="24"/>
        </w:rPr>
        <w:t xml:space="preserve">INFRAÇÕES E SANÇÕES ADMINISTRATIVAS</w:t>
      </w:r>
      <w:bookmarkEnd w:id="25"/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Comete infração administrativa o fornecedor que praticar quaisquer das </w:t>
      </w:r>
      <w:r>
        <w:rPr>
          <w:rFonts w:ascii="Times New Roman" w:hAnsi="Times New Roman" w:cs="Times New Roman"/>
          <w:sz w:val="24"/>
        </w:rPr>
        <w:t xml:space="preserve">hipóteses previstas</w:t>
      </w:r>
      <w:r>
        <w:rPr>
          <w:rFonts w:ascii="Times New Roman" w:hAnsi="Times New Roman" w:cs="Times New Roman"/>
          <w:sz w:val="24"/>
        </w:rPr>
        <w:t xml:space="preserve"> no </w:t>
      </w:r>
      <w:hyperlink r:id="rId35" w:tooltip="http://www.planalto.gov.br/ccivil_03/_ato2019-2022/2021/lei/L14133.htm#art155" w:anchor="art155" w:history="1">
        <w:r>
          <w:rPr>
            <w:rStyle w:val="1050"/>
            <w:rFonts w:ascii="Times New Roman" w:hAnsi="Times New Roman" w:cs="Times New Roman"/>
            <w:sz w:val="24"/>
          </w:rPr>
          <w:t xml:space="preserve">art. 155 da Lei nº 14.133, de 2021</w:t>
        </w:r>
      </w:hyperlink>
      <w:r>
        <w:rPr>
          <w:rFonts w:ascii="Times New Roman" w:hAnsi="Times New Roman" w:cs="Times New Roman"/>
          <w:sz w:val="24"/>
        </w:rPr>
        <w:t xml:space="preserve">, quais sejam: </w:t>
      </w:r>
      <w:r>
        <w:rPr>
          <w:rFonts w:ascii="Times New Roman" w:hAnsi="Times New Roman" w:cs="Times New Roman"/>
          <w:b/>
          <w:sz w:val="24"/>
        </w:rPr>
      </w:r>
      <w:r>
        <w:rPr>
          <w:rFonts w:ascii="Times New Roman" w:hAnsi="Times New Roman" w:cs="Times New Roman"/>
          <w:b/>
          <w:sz w:val="24"/>
        </w:rPr>
      </w:r>
    </w:p>
    <w:p>
      <w:pPr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sz w:val="24"/>
        </w:rPr>
      </w:pPr>
      <w:r/>
      <w:bookmarkStart w:id="26" w:name="_Ref143509900"/>
      <w:r>
        <w:rPr>
          <w:rFonts w:ascii="Times New Roman" w:hAnsi="Times New Roman" w:cs="Times New Roman"/>
          <w:color w:val="000000"/>
          <w:sz w:val="24"/>
        </w:rPr>
        <w:t xml:space="preserve">dar causa à inexecução parcial do contrato</w:t>
      </w:r>
      <w:r>
        <w:rPr>
          <w:rFonts w:ascii="Times New Roman" w:hAnsi="Times New Roman" w:cs="Times New Roman"/>
          <w:sz w:val="24"/>
        </w:rPr>
        <w:t xml:space="preserve">;</w:t>
      </w:r>
      <w:bookmarkEnd w:id="26"/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sz w:val="24"/>
        </w:rPr>
      </w:pPr>
      <w:r/>
      <w:bookmarkStart w:id="27" w:name="_Ref143510015"/>
      <w:r>
        <w:rPr>
          <w:rFonts w:ascii="Times New Roman" w:hAnsi="Times New Roman" w:cs="Times New Roman"/>
          <w:color w:val="000000"/>
          <w:sz w:val="24"/>
        </w:rPr>
        <w:t xml:space="preserve">dar causa à inexecução parcial do contrato que cause grave dano à Administração, ao funcionamento dos serviços públicos ou ao interesse coletivo;</w:t>
      </w:r>
      <w:bookmarkEnd w:id="27"/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dar causa à inexecução total do contrato;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deixar de entregar a documentação exigida para o certame;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não manter a proposta, salvo em decorrência de fato superveniente devidamente justificado;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não celebrar o contrato ou não entregar a documentação exigida para a contratação, quando convocado dentro do prazo de validade de sua proposta;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 </w:t>
      </w:r>
      <w:bookmarkStart w:id="28" w:name="_Ref143510046"/>
      <w:r>
        <w:rPr>
          <w:rFonts w:ascii="Times New Roman" w:hAnsi="Times New Roman" w:cs="Times New Roman"/>
          <w:color w:val="000000"/>
          <w:sz w:val="24"/>
        </w:rPr>
        <w:t xml:space="preserve">ensejar o retardamento da execução ou da entrega do objeto da</w:t>
      </w:r>
      <w:r>
        <w:rPr>
          <w:rFonts w:ascii="Times New Roman" w:hAnsi="Times New Roman" w:cs="Times New Roman"/>
          <w:color w:val="000000"/>
          <w:sz w:val="24"/>
        </w:rPr>
        <w:t xml:space="preserve"> contratação direta </w:t>
      </w:r>
      <w:r>
        <w:rPr>
          <w:rFonts w:ascii="Times New Roman" w:hAnsi="Times New Roman" w:cs="Times New Roman"/>
          <w:color w:val="000000"/>
          <w:sz w:val="24"/>
        </w:rPr>
        <w:t xml:space="preserve">sem motivo justificado;</w:t>
      </w:r>
      <w:bookmarkEnd w:id="28"/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sz w:val="24"/>
        </w:rPr>
      </w:pPr>
      <w:r/>
      <w:bookmarkStart w:id="29" w:name="_Ref143510088"/>
      <w:r>
        <w:rPr>
          <w:rFonts w:ascii="Times New Roman" w:hAnsi="Times New Roman" w:cs="Times New Roman"/>
          <w:color w:val="000000"/>
          <w:sz w:val="24"/>
        </w:rPr>
        <w:t xml:space="preserve">apresentar declaração ou documentação falsa exigida para o certame ou prestar declaração falsa durante a dispensa eletrônica ou a execução do contrato;</w:t>
      </w:r>
      <w:bookmarkEnd w:id="29"/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fraudar a dispensa eletrônica ou praticar ato fraudulento na execução do contrato;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 comportar-se de modo inidôneo ou cometer fraude de qualquer natureza;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pStyle w:val="1026"/>
        <w:numPr>
          <w:ilvl w:val="3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 praticar atos ilícitos com vistas a frustrar os objetivos deste certame.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numPr>
          <w:ilvl w:val="2"/>
          <w:numId w:val="1"/>
        </w:numPr>
        <w:pBdr/>
        <w:spacing w:after="120" w:before="120" w:line="276" w:lineRule="auto"/>
        <w:ind/>
        <w:jc w:val="both"/>
        <w:rPr>
          <w:rStyle w:val="1050"/>
          <w:rFonts w:ascii="Times New Roman" w:hAnsi="Times New Roman" w:cs="Times New Roman"/>
          <w:sz w:val="24"/>
        </w:rPr>
      </w:pPr>
      <w:r/>
      <w:bookmarkStart w:id="30" w:name="_Ref143509952"/>
      <w:r>
        <w:rPr>
          <w:rFonts w:ascii="Times New Roman" w:hAnsi="Times New Roman" w:cs="Times New Roman"/>
          <w:color w:val="000000"/>
          <w:sz w:val="24"/>
        </w:rPr>
        <w:t xml:space="preserve">praticar ato lesivo previsto no </w:t>
      </w:r>
      <w:r>
        <w:rPr>
          <w:rFonts w:ascii="Times New Roman" w:hAnsi="Times New Roman" w:cs="Times New Roman"/>
          <w:color w:val="000000"/>
          <w:sz w:val="24"/>
        </w:rPr>
        <w:fldChar w:fldCharType="begin"/>
      </w:r>
      <w:r>
        <w:rPr>
          <w:rFonts w:ascii="Times New Roman" w:hAnsi="Times New Roman" w:cs="Times New Roman"/>
          <w:color w:val="000000"/>
          <w:sz w:val="24"/>
        </w:rPr>
        <w:instrText xml:space="preserve"> HYPERLINK "http://www.planalto.gov.br/ccivil_03/_ato2019-2022/2021/lei/L14133.htm" \l "art5" </w:instrText>
      </w:r>
      <w:r>
        <w:rPr>
          <w:rFonts w:ascii="Times New Roman" w:hAnsi="Times New Roman" w:cs="Times New Roman"/>
          <w:color w:val="000000"/>
          <w:sz w:val="24"/>
        </w:rPr>
        <w:fldChar w:fldCharType="separate"/>
      </w:r>
      <w:r>
        <w:rPr>
          <w:rStyle w:val="1050"/>
          <w:rFonts w:ascii="Times New Roman" w:hAnsi="Times New Roman" w:cs="Times New Roman"/>
          <w:sz w:val="24"/>
        </w:rPr>
        <w:t xml:space="preserve">art. 5º da Lei nº 12.846, de 1º de agosto de 2013.</w:t>
      </w:r>
      <w:r>
        <w:rPr>
          <w:rStyle w:val="1050"/>
          <w:rFonts w:ascii="Times New Roman" w:hAnsi="Times New Roman" w:cs="Times New Roman"/>
          <w:sz w:val="24"/>
        </w:rPr>
      </w:r>
      <w:r>
        <w:rPr>
          <w:rStyle w:val="1050"/>
          <w:rFonts w:ascii="Times New Roman" w:hAnsi="Times New Roman" w:cs="Times New Roman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fldChar w:fldCharType="end"/>
      </w:r>
      <w:bookmarkEnd w:id="30"/>
      <w:r>
        <w:rPr>
          <w:rFonts w:ascii="Times New Roman" w:hAnsi="Times New Roman" w:cs="Times New Roman"/>
          <w:sz w:val="24"/>
        </w:rPr>
        <w:t xml:space="preserve">O fornecedor que cometer qualquer das infrações discriminadas nos subitens anteriores ficará sujeito, sem prejuízo da responsabilidade civil e criminal, às seguintes sanções:</w:t>
      </w:r>
      <w:r>
        <w:rPr>
          <w:rFonts w:ascii="Times New Roman" w:hAnsi="Times New Roman" w:cs="Times New Roman"/>
          <w:b/>
          <w:sz w:val="24"/>
        </w:rPr>
      </w:r>
      <w:r>
        <w:rPr>
          <w:rFonts w:ascii="Times New Roman" w:hAnsi="Times New Roman" w:cs="Times New Roman"/>
          <w:b/>
          <w:sz w:val="24"/>
        </w:rPr>
      </w:r>
    </w:p>
    <w:p>
      <w:pPr>
        <w:numPr>
          <w:ilvl w:val="2"/>
          <w:numId w:val="5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Advertência pela falta do subitem </w:t>
      </w:r>
      <w:r>
        <w:rPr>
          <w:rFonts w:ascii="Times New Roman" w:hAnsi="Times New Roman" w:cs="Times New Roman"/>
          <w:sz w:val="24"/>
        </w:rPr>
        <w:fldChar w:fldCharType="begin"/>
      </w:r>
      <w:r>
        <w:rPr>
          <w:rFonts w:ascii="Times New Roman" w:hAnsi="Times New Roman" w:cs="Times New Roman"/>
          <w:sz w:val="24"/>
        </w:rPr>
        <w:instrText xml:space="preserve"> REF _Ref143509900 \r \h </w:instrText>
      </w:r>
      <w:r>
        <w:rPr>
          <w:rFonts w:ascii="Times New Roman" w:hAnsi="Times New Roman" w:cs="Times New Roman"/>
          <w:sz w:val="24"/>
        </w:rPr>
        <w:instrText xml:space="preserve"> \* MERGEFORMAT </w:instrText>
      </w:r>
      <w:r>
        <w:rPr>
          <w:rFonts w:ascii="Times New Roman" w:hAnsi="Times New Roman" w:cs="Times New Roman"/>
          <w:sz w:val="24"/>
        </w:rPr>
        <w:fldChar w:fldCharType="separate"/>
      </w:r>
      <w:r>
        <w:rPr>
          <w:rFonts w:ascii="Times New Roman" w:hAnsi="Times New Roman" w:cs="Times New Roman"/>
          <w:sz w:val="24"/>
        </w:rPr>
        <w:t xml:space="preserve">11.1.1</w:t>
      </w:r>
      <w:r>
        <w:rPr>
          <w:rFonts w:ascii="Times New Roman" w:hAnsi="Times New Roman" w:cs="Times New Roman"/>
          <w:sz w:val="24"/>
        </w:rPr>
        <w:fldChar w:fldCharType="end"/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deste Aviso de Contratação Direta, quando não se justificar a imposição de penalidade mais grave;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numPr>
          <w:ilvl w:val="2"/>
          <w:numId w:val="5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Multa de</w:t>
      </w:r>
      <w:r>
        <w:rPr>
          <w:rFonts w:ascii="Times New Roman" w:hAnsi="Times New Roman" w:cs="Times New Roman"/>
          <w:sz w:val="24"/>
        </w:rPr>
        <w:t xml:space="preserve"> 5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% (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cinco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por cento)</w:t>
      </w:r>
      <w:r>
        <w:rPr>
          <w:rFonts w:ascii="Times New Roman" w:hAnsi="Times New Roman" w:cs="Times New Roman"/>
          <w:color w:val="ff000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sobre o valor estimado do(s) item(s) prejudicado(s) pela conduta do fornecedor, por qualquer das infrações dos subitens </w:t>
      </w:r>
      <w:r>
        <w:rPr>
          <w:rFonts w:ascii="Times New Roman" w:hAnsi="Times New Roman" w:cs="Times New Roman"/>
          <w:sz w:val="24"/>
        </w:rPr>
        <w:fldChar w:fldCharType="begin"/>
      </w:r>
      <w:r>
        <w:rPr>
          <w:rFonts w:ascii="Times New Roman" w:hAnsi="Times New Roman" w:cs="Times New Roman"/>
          <w:sz w:val="24"/>
        </w:rPr>
        <w:instrText xml:space="preserve"> REF _Ref143509900 \r \h </w:instrText>
      </w:r>
      <w:r>
        <w:rPr>
          <w:rFonts w:ascii="Times New Roman" w:hAnsi="Times New Roman" w:cs="Times New Roman"/>
          <w:sz w:val="24"/>
        </w:rPr>
        <w:instrText xml:space="preserve"> \* MERGEFORMAT </w:instrText>
      </w:r>
      <w:r>
        <w:rPr>
          <w:rFonts w:ascii="Times New Roman" w:hAnsi="Times New Roman" w:cs="Times New Roman"/>
          <w:sz w:val="24"/>
        </w:rPr>
        <w:fldChar w:fldCharType="separate"/>
      </w:r>
      <w:r>
        <w:rPr>
          <w:rFonts w:ascii="Times New Roman" w:hAnsi="Times New Roman" w:cs="Times New Roman"/>
          <w:sz w:val="24"/>
        </w:rPr>
        <w:t xml:space="preserve">11.1.1</w:t>
      </w:r>
      <w:r>
        <w:rPr>
          <w:rFonts w:ascii="Times New Roman" w:hAnsi="Times New Roman" w:cs="Times New Roman"/>
          <w:sz w:val="24"/>
        </w:rPr>
        <w:fldChar w:fldCharType="end"/>
      </w:r>
      <w:r>
        <w:rPr>
          <w:rFonts w:ascii="Times New Roman" w:hAnsi="Times New Roman" w:cs="Times New Roman"/>
          <w:sz w:val="24"/>
        </w:rPr>
        <w:t xml:space="preserve"> a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fldChar w:fldCharType="begin"/>
      </w:r>
      <w:r>
        <w:rPr>
          <w:rFonts w:ascii="Times New Roman" w:hAnsi="Times New Roman" w:cs="Times New Roman"/>
          <w:sz w:val="24"/>
        </w:rPr>
        <w:instrText xml:space="preserve"> REF _Ref143509952 \r \h </w:instrText>
      </w:r>
      <w:r>
        <w:rPr>
          <w:rFonts w:ascii="Times New Roman" w:hAnsi="Times New Roman" w:cs="Times New Roman"/>
          <w:sz w:val="24"/>
        </w:rPr>
        <w:instrText xml:space="preserve"> \* MERGEFORMAT </w:instrText>
      </w:r>
      <w:r>
        <w:rPr>
          <w:rFonts w:ascii="Times New Roman" w:hAnsi="Times New Roman" w:cs="Times New Roman"/>
          <w:sz w:val="24"/>
        </w:rPr>
        <w:fldChar w:fldCharType="separate"/>
      </w:r>
      <w:r>
        <w:rPr>
          <w:rFonts w:ascii="Times New Roman" w:hAnsi="Times New Roman" w:cs="Times New Roman"/>
          <w:sz w:val="24"/>
        </w:rPr>
        <w:t xml:space="preserve">11.1.12</w:t>
      </w:r>
      <w:r>
        <w:rPr>
          <w:rFonts w:ascii="Times New Roman" w:hAnsi="Times New Roman" w:cs="Times New Roman"/>
          <w:sz w:val="24"/>
        </w:rPr>
        <w:fldChar w:fldCharType="end"/>
      </w:r>
      <w:r>
        <w:rPr>
          <w:rFonts w:ascii="Times New Roman" w:hAnsi="Times New Roman" w:cs="Times New Roman"/>
          <w:sz w:val="24"/>
        </w:rPr>
        <w:t xml:space="preserve">;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numPr>
          <w:ilvl w:val="2"/>
          <w:numId w:val="5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Impedimento de licitar e contratar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 xml:space="preserve">no âmbito da Administração Pública direta e indireta do ente federativo que tiver aplicado a sanção, pelo prazo </w:t>
      </w:r>
      <w:r>
        <w:rPr>
          <w:rFonts w:ascii="Times New Roman" w:hAnsi="Times New Roman" w:cs="Times New Roman"/>
          <w:color w:val="000000"/>
          <w:sz w:val="24"/>
        </w:rPr>
        <w:t xml:space="preserve">máximo de 3 (três) anos, nos casos dos subitens </w:t>
      </w:r>
      <w:r>
        <w:rPr>
          <w:rFonts w:ascii="Times New Roman" w:hAnsi="Times New Roman" w:cs="Times New Roman"/>
          <w:color w:val="000000"/>
          <w:sz w:val="24"/>
        </w:rPr>
        <w:fldChar w:fldCharType="begin"/>
      </w:r>
      <w:r>
        <w:rPr>
          <w:rFonts w:ascii="Times New Roman" w:hAnsi="Times New Roman" w:cs="Times New Roman"/>
          <w:color w:val="000000"/>
          <w:sz w:val="24"/>
        </w:rPr>
        <w:instrText xml:space="preserve"> REF _Ref143510015 \r \h </w:instrText>
      </w:r>
      <w:r>
        <w:rPr>
          <w:rFonts w:ascii="Times New Roman" w:hAnsi="Times New Roman" w:cs="Times New Roman"/>
          <w:color w:val="000000"/>
          <w:sz w:val="24"/>
        </w:rPr>
        <w:instrText xml:space="preserve"> \* MERGEFORMAT </w:instrText>
      </w:r>
      <w:r>
        <w:rPr>
          <w:rFonts w:ascii="Times New Roman" w:hAnsi="Times New Roman" w:cs="Times New Roman"/>
          <w:color w:val="000000"/>
          <w:sz w:val="24"/>
        </w:rPr>
        <w:fldChar w:fldCharType="separate"/>
      </w:r>
      <w:r>
        <w:rPr>
          <w:rFonts w:ascii="Times New Roman" w:hAnsi="Times New Roman" w:cs="Times New Roman"/>
          <w:color w:val="000000"/>
          <w:sz w:val="24"/>
        </w:rPr>
        <w:t xml:space="preserve">11.1.2</w:t>
      </w:r>
      <w:r>
        <w:rPr>
          <w:rFonts w:ascii="Times New Roman" w:hAnsi="Times New Roman" w:cs="Times New Roman"/>
          <w:color w:val="000000"/>
          <w:sz w:val="24"/>
        </w:rPr>
        <w:fldChar w:fldCharType="end"/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 xml:space="preserve"> a </w:t>
      </w:r>
      <w:r>
        <w:rPr>
          <w:rFonts w:ascii="Times New Roman" w:hAnsi="Times New Roman" w:cs="Times New Roman"/>
          <w:color w:val="000000"/>
          <w:sz w:val="24"/>
        </w:rPr>
        <w:fldChar w:fldCharType="begin"/>
      </w:r>
      <w:r>
        <w:rPr>
          <w:rFonts w:ascii="Times New Roman" w:hAnsi="Times New Roman" w:cs="Times New Roman"/>
          <w:color w:val="000000"/>
          <w:sz w:val="24"/>
        </w:rPr>
        <w:instrText xml:space="preserve"> REF _Ref143510046 \r \h </w:instrText>
      </w:r>
      <w:r>
        <w:rPr>
          <w:rFonts w:ascii="Times New Roman" w:hAnsi="Times New Roman" w:cs="Times New Roman"/>
          <w:color w:val="000000"/>
          <w:sz w:val="24"/>
        </w:rPr>
        <w:instrText xml:space="preserve"> \* MERGEFORMAT </w:instrText>
      </w:r>
      <w:r>
        <w:rPr>
          <w:rFonts w:ascii="Times New Roman" w:hAnsi="Times New Roman" w:cs="Times New Roman"/>
          <w:color w:val="000000"/>
          <w:sz w:val="24"/>
        </w:rPr>
        <w:fldChar w:fldCharType="separate"/>
      </w:r>
      <w:r>
        <w:rPr>
          <w:rFonts w:ascii="Times New Roman" w:hAnsi="Times New Roman" w:cs="Times New Roman"/>
          <w:color w:val="000000"/>
          <w:sz w:val="24"/>
        </w:rPr>
        <w:t xml:space="preserve">11.1.7</w:t>
      </w:r>
      <w:r>
        <w:rPr>
          <w:rFonts w:ascii="Times New Roman" w:hAnsi="Times New Roman" w:cs="Times New Roman"/>
          <w:color w:val="000000"/>
          <w:sz w:val="24"/>
        </w:rPr>
        <w:fldChar w:fldCharType="end"/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 xml:space="preserve">deste Aviso de Contratação Direta, quando não se justificar a imposição de penalidade mais grave</w:t>
      </w:r>
      <w:r>
        <w:rPr>
          <w:rFonts w:ascii="Times New Roman" w:hAnsi="Times New Roman" w:cs="Times New Roman"/>
          <w:sz w:val="24"/>
        </w:rPr>
        <w:t xml:space="preserve">;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numPr>
          <w:ilvl w:val="2"/>
          <w:numId w:val="5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Declaração de ini</w:t>
      </w:r>
      <w:r>
        <w:rPr>
          <w:rFonts w:ascii="Times New Roman" w:hAnsi="Times New Roman" w:cs="Times New Roman"/>
          <w:color w:val="000000"/>
          <w:sz w:val="24"/>
        </w:rPr>
        <w:t xml:space="preserve">doneidade para licitar ou contratar, que impedirá o responsável de licitar ou contratar no âmbito da Administração Pública direta e indireta de todos os entes federativos, pelo prazo mínimo de 3 (três) anos e máximo de 6 (seis) anos, nos casos dos subitens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fldChar w:fldCharType="begin"/>
      </w:r>
      <w:r>
        <w:rPr>
          <w:rFonts w:ascii="Times New Roman" w:hAnsi="Times New Roman" w:cs="Times New Roman"/>
          <w:color w:val="000000"/>
          <w:sz w:val="24"/>
        </w:rPr>
        <w:instrText xml:space="preserve"> REF _Ref143510088 \r \h </w:instrText>
      </w:r>
      <w:r>
        <w:rPr>
          <w:rFonts w:ascii="Times New Roman" w:hAnsi="Times New Roman" w:cs="Times New Roman"/>
          <w:color w:val="000000"/>
          <w:sz w:val="24"/>
        </w:rPr>
        <w:instrText xml:space="preserve"> \* MERGEFORMAT </w:instrText>
      </w:r>
      <w:r>
        <w:rPr>
          <w:rFonts w:ascii="Times New Roman" w:hAnsi="Times New Roman" w:cs="Times New Roman"/>
          <w:color w:val="000000"/>
          <w:sz w:val="24"/>
        </w:rPr>
        <w:fldChar w:fldCharType="separate"/>
      </w:r>
      <w:r>
        <w:rPr>
          <w:rFonts w:ascii="Times New Roman" w:hAnsi="Times New Roman" w:cs="Times New Roman"/>
          <w:color w:val="000000"/>
          <w:sz w:val="24"/>
        </w:rPr>
        <w:t xml:space="preserve">11.1.8</w:t>
      </w:r>
      <w:r>
        <w:rPr>
          <w:rFonts w:ascii="Times New Roman" w:hAnsi="Times New Roman" w:cs="Times New Roman"/>
          <w:color w:val="000000"/>
          <w:sz w:val="24"/>
        </w:rPr>
        <w:fldChar w:fldCharType="end"/>
      </w:r>
      <w:r>
        <w:rPr>
          <w:rFonts w:ascii="Times New Roman" w:hAnsi="Times New Roman" w:cs="Times New Roman"/>
          <w:color w:val="000000"/>
          <w:sz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fldChar w:fldCharType="begin"/>
      </w:r>
      <w:r>
        <w:rPr>
          <w:rFonts w:ascii="Times New Roman" w:hAnsi="Times New Roman" w:cs="Times New Roman"/>
          <w:color w:val="000000"/>
          <w:sz w:val="24"/>
        </w:rPr>
        <w:instrText xml:space="preserve"> REF _Ref143509952 \r \h </w:instrText>
      </w:r>
      <w:r>
        <w:rPr>
          <w:rFonts w:ascii="Times New Roman" w:hAnsi="Times New Roman" w:cs="Times New Roman"/>
          <w:color w:val="000000"/>
          <w:sz w:val="24"/>
        </w:rPr>
        <w:instrText xml:space="preserve"> \* MERGEFORMAT </w:instrText>
      </w:r>
      <w:r>
        <w:rPr>
          <w:rFonts w:ascii="Times New Roman" w:hAnsi="Times New Roman" w:cs="Times New Roman"/>
          <w:color w:val="000000"/>
          <w:sz w:val="24"/>
        </w:rPr>
        <w:fldChar w:fldCharType="separate"/>
      </w:r>
      <w:r>
        <w:rPr>
          <w:rFonts w:ascii="Times New Roman" w:hAnsi="Times New Roman" w:cs="Times New Roman"/>
          <w:color w:val="000000"/>
          <w:sz w:val="24"/>
        </w:rPr>
        <w:t xml:space="preserve">11.1.12</w:t>
      </w:r>
      <w:r>
        <w:rPr>
          <w:rFonts w:ascii="Times New Roman" w:hAnsi="Times New Roman" w:cs="Times New Roman"/>
          <w:color w:val="000000"/>
          <w:sz w:val="24"/>
        </w:rPr>
        <w:fldChar w:fldCharType="end"/>
      </w:r>
      <w:r>
        <w:rPr>
          <w:rFonts w:ascii="Times New Roman" w:hAnsi="Times New Roman" w:cs="Times New Roman"/>
          <w:color w:val="000000"/>
          <w:sz w:val="24"/>
        </w:rPr>
        <w:t xml:space="preserve">, bem como nos demais casos que justifiquem a imposição da penalidade mais grave</w:t>
      </w:r>
      <w:r>
        <w:rPr>
          <w:rFonts w:ascii="Times New Roman" w:hAnsi="Times New Roman" w:cs="Times New Roman"/>
          <w:sz w:val="24"/>
        </w:rPr>
        <w:t xml:space="preserve">;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A aplicação das sanções previstas neste </w:t>
      </w:r>
      <w:r>
        <w:rPr>
          <w:rFonts w:ascii="Times New Roman" w:hAnsi="Times New Roman" w:cs="Times New Roman"/>
          <w:bCs/>
          <w:sz w:val="24"/>
        </w:rPr>
        <w:t xml:space="preserve">Aviso</w:t>
      </w:r>
      <w:r>
        <w:rPr>
          <w:rFonts w:ascii="Times New Roman" w:hAnsi="Times New Roman" w:cs="Times New Roman"/>
          <w:bCs/>
          <w:sz w:val="24"/>
        </w:rPr>
        <w:t xml:space="preserve"> de Contratação Direta </w:t>
      </w:r>
      <w:r>
        <w:rPr>
          <w:rFonts w:ascii="Times New Roman" w:hAnsi="Times New Roman" w:cs="Times New Roman"/>
          <w:bCs/>
          <w:sz w:val="24"/>
        </w:rPr>
        <w:t xml:space="preserve">não exclui, em hipótese alguma, a obrigação de reparação integral do dano causado à Contratante (</w:t>
      </w:r>
      <w:hyperlink r:id="rId36" w:tooltip="http://www.planalto.gov.br/ccivil_03/_ato2019-2022/2021/lei/L14133.htm#art156§9" w:anchor="art156§9" w:history="1">
        <w:r>
          <w:rPr>
            <w:rStyle w:val="1050"/>
            <w:rFonts w:ascii="Times New Roman" w:hAnsi="Times New Roman" w:cs="Times New Roman"/>
            <w:bCs/>
            <w:sz w:val="24"/>
          </w:rPr>
          <w:t xml:space="preserve">art. 156, §9º</w:t>
        </w:r>
      </w:hyperlink>
      <w:r>
        <w:rPr>
          <w:rFonts w:ascii="Times New Roman" w:hAnsi="Times New Roman" w:cs="Times New Roman"/>
          <w:bCs/>
          <w:sz w:val="24"/>
        </w:rPr>
        <w:t xml:space="preserve">)</w:t>
      </w:r>
      <w:r>
        <w:rPr>
          <w:rFonts w:ascii="Times New Roman" w:hAnsi="Times New Roman" w:cs="Times New Roman"/>
          <w:bCs/>
          <w:sz w:val="24"/>
        </w:rPr>
      </w:r>
      <w:r>
        <w:rPr>
          <w:rFonts w:ascii="Times New Roman" w:hAnsi="Times New Roman" w:cs="Times New Roman"/>
          <w:bCs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Todas as sanções previstas neste Aviso poderão ser aplicadas cumulativamente com a multa </w:t>
      </w:r>
      <w:hyperlink r:id="rId37" w:tooltip="http://www.planalto.gov.br/ccivil_03/_ato2019-2022/2021/lei/L14133.htm#art156§7" w:anchor="art156§7" w:history="1">
        <w:r>
          <w:rPr>
            <w:rStyle w:val="1050"/>
            <w:rFonts w:ascii="Times New Roman" w:hAnsi="Times New Roman" w:cs="Times New Roman"/>
            <w:bCs/>
            <w:sz w:val="24"/>
          </w:rPr>
          <w:t xml:space="preserve">(art. 156, §7º</w:t>
        </w:r>
      </w:hyperlink>
      <w:r>
        <w:rPr>
          <w:rFonts w:ascii="Times New Roman" w:hAnsi="Times New Roman" w:cs="Times New Roman"/>
          <w:bCs/>
          <w:sz w:val="24"/>
        </w:rPr>
        <w:t xml:space="preserve">).</w:t>
      </w:r>
      <w:r>
        <w:rPr>
          <w:rFonts w:ascii="Times New Roman" w:hAnsi="Times New Roman" w:cs="Times New Roman"/>
          <w:bCs/>
          <w:sz w:val="24"/>
        </w:rPr>
      </w:r>
      <w:r>
        <w:rPr>
          <w:rFonts w:ascii="Times New Roman" w:hAnsi="Times New Roman" w:cs="Times New Roman"/>
          <w:bCs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Antes da aplicação da multa</w:t>
      </w:r>
      <w:r>
        <w:rPr>
          <w:rFonts w:ascii="Times New Roman" w:hAnsi="Times New Roman" w:cs="Times New Roman"/>
          <w:bCs/>
          <w:sz w:val="24"/>
        </w:rPr>
        <w:t xml:space="preserve">,</w:t>
      </w:r>
      <w:r>
        <w:rPr>
          <w:rFonts w:ascii="Times New Roman" w:hAnsi="Times New Roman" w:cs="Times New Roman"/>
          <w:bCs/>
          <w:sz w:val="24"/>
        </w:rPr>
        <w:t xml:space="preserve"> será facultada a defesa do interessado no prazo de 15 (quinze) dias úteis, contado da data de sua intimação (</w:t>
      </w:r>
      <w:hyperlink r:id="rId38" w:tooltip="http://www.planalto.gov.br/ccivil_03/_ato2019-2022/2021/lei/L14133.htm#art157" w:anchor="art157" w:history="1">
        <w:r>
          <w:rPr>
            <w:rStyle w:val="1050"/>
            <w:rFonts w:ascii="Times New Roman" w:hAnsi="Times New Roman" w:cs="Times New Roman"/>
            <w:bCs/>
            <w:sz w:val="24"/>
          </w:rPr>
          <w:t xml:space="preserve">art. 157</w:t>
        </w:r>
      </w:hyperlink>
      <w:r>
        <w:rPr>
          <w:rFonts w:ascii="Times New Roman" w:hAnsi="Times New Roman" w:cs="Times New Roman"/>
          <w:bCs/>
          <w:sz w:val="24"/>
        </w:rPr>
        <w:t xml:space="preserve">)</w:t>
      </w:r>
      <w:r>
        <w:rPr>
          <w:rFonts w:ascii="Times New Roman" w:hAnsi="Times New Roman" w:cs="Times New Roman"/>
          <w:bCs/>
          <w:sz w:val="24"/>
        </w:rPr>
      </w:r>
      <w:r>
        <w:rPr>
          <w:rFonts w:ascii="Times New Roman" w:hAnsi="Times New Roman" w:cs="Times New Roman"/>
          <w:bCs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Se a multa aplicada e as indenizações cabíveis forem superiores ao valor do pagamento eventualmente devido pelo Contratante ao Contratado, além da perda desse valor, a diferença será descontada da garantia prestada ou será cobrada judicialmente (</w:t>
      </w:r>
      <w:hyperlink r:id="rId39" w:tooltip="http://www.planalto.gov.br/ccivil_03/_ato2019-2022/2021/lei/L14133.htm#art156§8" w:anchor="art156§8" w:history="1">
        <w:r>
          <w:rPr>
            <w:rStyle w:val="1050"/>
            <w:rFonts w:ascii="Times New Roman" w:hAnsi="Times New Roman" w:cs="Times New Roman"/>
            <w:bCs/>
            <w:sz w:val="24"/>
          </w:rPr>
          <w:t xml:space="preserve">art. 156, §8º</w:t>
        </w:r>
      </w:hyperlink>
      <w:r>
        <w:rPr>
          <w:rFonts w:ascii="Times New Roman" w:hAnsi="Times New Roman" w:cs="Times New Roman"/>
          <w:bCs/>
          <w:sz w:val="24"/>
        </w:rPr>
        <w:t xml:space="preserve">).</w:t>
      </w:r>
      <w:r>
        <w:rPr>
          <w:rFonts w:ascii="Times New Roman" w:hAnsi="Times New Roman" w:cs="Times New Roman"/>
          <w:bCs/>
          <w:sz w:val="24"/>
        </w:rPr>
      </w:r>
      <w:r>
        <w:rPr>
          <w:rFonts w:ascii="Times New Roman" w:hAnsi="Times New Roman" w:cs="Times New Roman"/>
          <w:bCs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Previamente ao encaminhamento à cobrança judicial, a multa poderá ser recolhida administrativamente no prazo máximo de </w:t>
      </w:r>
      <w:r>
        <w:rPr>
          <w:rFonts w:ascii="Times New Roman" w:hAnsi="Times New Roman" w:cs="Times New Roman"/>
          <w:bCs/>
          <w:sz w:val="24"/>
        </w:rPr>
        <w:t xml:space="preserve">15</w:t>
      </w:r>
      <w:r>
        <w:rPr>
          <w:rFonts w:ascii="Times New Roman" w:hAnsi="Times New Roman" w:cs="Times New Roman"/>
          <w:i/>
          <w:color w:val="ff0000"/>
          <w:sz w:val="24"/>
        </w:rPr>
        <w:t xml:space="preserve"> </w:t>
      </w:r>
      <w:r>
        <w:rPr>
          <w:rFonts w:ascii="Times New Roman" w:hAnsi="Times New Roman" w:cs="Times New Roman"/>
          <w:iCs/>
          <w:color w:val="000000" w:themeColor="text1"/>
          <w:sz w:val="24"/>
        </w:rPr>
        <w:t xml:space="preserve">(</w:t>
      </w:r>
      <w:r>
        <w:rPr>
          <w:rFonts w:ascii="Times New Roman" w:hAnsi="Times New Roman" w:cs="Times New Roman"/>
          <w:iCs/>
          <w:color w:val="000000" w:themeColor="text1"/>
          <w:sz w:val="24"/>
        </w:rPr>
        <w:t xml:space="preserve">quinze</w:t>
      </w:r>
      <w:r>
        <w:rPr>
          <w:rFonts w:ascii="Times New Roman" w:hAnsi="Times New Roman" w:cs="Times New Roman"/>
          <w:iCs/>
          <w:color w:val="000000" w:themeColor="text1"/>
          <w:sz w:val="24"/>
        </w:rPr>
        <w:t xml:space="preserve">)</w:t>
      </w:r>
      <w:r>
        <w:rPr>
          <w:rFonts w:ascii="Times New Roman" w:hAnsi="Times New Roman" w:cs="Times New Roman"/>
          <w:bCs/>
          <w:i/>
          <w:iCs/>
          <w:color w:val="000000" w:themeColor="text1"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 xml:space="preserve">dias, a contar da data do recebimento da comunicação enviada pela autoridade competente.</w:t>
      </w:r>
      <w:bookmarkStart w:id="32" w:name="_Hlk78351618"/>
      <w:r/>
      <w:bookmarkEnd w:id="32"/>
      <w:r>
        <w:rPr>
          <w:rFonts w:ascii="Times New Roman" w:hAnsi="Times New Roman" w:cs="Times New Roman"/>
          <w:bCs/>
          <w:sz w:val="24"/>
        </w:rPr>
      </w:r>
      <w:r>
        <w:rPr>
          <w:rFonts w:ascii="Times New Roman" w:hAnsi="Times New Roman" w:cs="Times New Roman"/>
          <w:bCs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A aplicação das sanções realizar-se-á em processo administrativo que assegure o contraditório e a ampla defesa ao Contratado, observando-se o procedimento previsto no </w:t>
      </w:r>
      <w:r>
        <w:rPr>
          <w:rFonts w:ascii="Times New Roman" w:hAnsi="Times New Roman" w:cs="Times New Roman"/>
          <w:b/>
          <w:bCs/>
          <w:sz w:val="24"/>
        </w:rPr>
        <w:t xml:space="preserve">caput </w:t>
      </w:r>
      <w:r>
        <w:rPr>
          <w:rFonts w:ascii="Times New Roman" w:hAnsi="Times New Roman" w:cs="Times New Roman"/>
          <w:bCs/>
          <w:sz w:val="24"/>
        </w:rPr>
        <w:t xml:space="preserve">e parágrafos do </w:t>
      </w:r>
      <w:hyperlink r:id="rId40" w:tooltip="http://www.planalto.gov.br/ccivil_03/_ato2019-2022/2021/lei/L14133.htm#art158" w:anchor="art158" w:history="1">
        <w:r>
          <w:rPr>
            <w:rStyle w:val="1050"/>
            <w:rFonts w:ascii="Times New Roman" w:hAnsi="Times New Roman" w:cs="Times New Roman"/>
            <w:bCs/>
            <w:sz w:val="24"/>
          </w:rPr>
          <w:t xml:space="preserve">art. 158 da Lei nº 14.133, de 2021</w:t>
        </w:r>
      </w:hyperlink>
      <w:r>
        <w:rPr>
          <w:rFonts w:ascii="Times New Roman" w:hAnsi="Times New Roman" w:cs="Times New Roman"/>
          <w:bCs/>
          <w:sz w:val="24"/>
        </w:rPr>
        <w:t xml:space="preserve">, para as penalidades de impedimento de licitar e contratar e de declaração de inidoneidade para licitar ou contratar.</w:t>
      </w:r>
      <w:r>
        <w:rPr>
          <w:rFonts w:ascii="Times New Roman" w:hAnsi="Times New Roman" w:cs="Times New Roman"/>
          <w:bCs/>
          <w:sz w:val="24"/>
        </w:rPr>
      </w:r>
      <w:r>
        <w:rPr>
          <w:rFonts w:ascii="Times New Roman" w:hAnsi="Times New Roman" w:cs="Times New Roman"/>
          <w:bCs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Na aplicação das sanções serão considerados (</w:t>
      </w:r>
      <w:hyperlink r:id="rId41" w:tooltip="http://www.planalto.gov.br/ccivil_03/_ato2019-2022/2021/lei/L14133.htm#art156§1" w:anchor="art156§1" w:history="1">
        <w:r>
          <w:rPr>
            <w:rStyle w:val="1050"/>
            <w:rFonts w:ascii="Times New Roman" w:hAnsi="Times New Roman" w:cs="Times New Roman"/>
            <w:bCs/>
            <w:sz w:val="24"/>
          </w:rPr>
          <w:t xml:space="preserve">art. 156, §1º</w:t>
        </w:r>
      </w:hyperlink>
      <w:r>
        <w:rPr>
          <w:rFonts w:ascii="Times New Roman" w:hAnsi="Times New Roman" w:cs="Times New Roman"/>
          <w:bCs/>
          <w:sz w:val="24"/>
        </w:rPr>
        <w:t xml:space="preserve">):</w:t>
      </w:r>
      <w:r>
        <w:rPr>
          <w:rFonts w:ascii="Times New Roman" w:hAnsi="Times New Roman" w:cs="Times New Roman"/>
          <w:bCs/>
          <w:sz w:val="24"/>
        </w:rPr>
      </w:r>
      <w:r>
        <w:rPr>
          <w:rFonts w:ascii="Times New Roman" w:hAnsi="Times New Roman" w:cs="Times New Roman"/>
          <w:bCs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a natureza e a gravidade da infração cometida;</w:t>
      </w:r>
      <w:r>
        <w:rPr>
          <w:rFonts w:ascii="Times New Roman" w:hAnsi="Times New Roman" w:cs="Times New Roman"/>
          <w:bCs/>
          <w:sz w:val="24"/>
        </w:rPr>
      </w:r>
      <w:r>
        <w:rPr>
          <w:rFonts w:ascii="Times New Roman" w:hAnsi="Times New Roman" w:cs="Times New Roman"/>
          <w:bCs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as peculiaridades do caso concreto;</w:t>
      </w:r>
      <w:r>
        <w:rPr>
          <w:rFonts w:ascii="Times New Roman" w:hAnsi="Times New Roman" w:cs="Times New Roman"/>
          <w:bCs/>
          <w:sz w:val="24"/>
        </w:rPr>
      </w:r>
      <w:r>
        <w:rPr>
          <w:rFonts w:ascii="Times New Roman" w:hAnsi="Times New Roman" w:cs="Times New Roman"/>
          <w:bCs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as circunstâncias agravantes ou atenuantes;</w:t>
      </w:r>
      <w:r>
        <w:rPr>
          <w:rFonts w:ascii="Times New Roman" w:hAnsi="Times New Roman" w:cs="Times New Roman"/>
          <w:bCs/>
          <w:sz w:val="24"/>
        </w:rPr>
      </w:r>
      <w:r>
        <w:rPr>
          <w:rFonts w:ascii="Times New Roman" w:hAnsi="Times New Roman" w:cs="Times New Roman"/>
          <w:bCs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os danos que dela provierem para o Contratante;</w:t>
      </w:r>
      <w:r>
        <w:rPr>
          <w:rFonts w:ascii="Times New Roman" w:hAnsi="Times New Roman" w:cs="Times New Roman"/>
          <w:bCs/>
          <w:sz w:val="24"/>
        </w:rPr>
      </w:r>
      <w:r>
        <w:rPr>
          <w:rFonts w:ascii="Times New Roman" w:hAnsi="Times New Roman" w:cs="Times New Roman"/>
          <w:bCs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a implantação ou o aperfeiçoamento de programa de integridade, conforme normas e orientações dos órgãos de controle.</w:t>
      </w:r>
      <w:r>
        <w:rPr>
          <w:rFonts w:ascii="Times New Roman" w:hAnsi="Times New Roman" w:cs="Times New Roman"/>
          <w:bCs/>
          <w:sz w:val="24"/>
        </w:rPr>
      </w:r>
      <w:r>
        <w:rPr>
          <w:rFonts w:ascii="Times New Roman" w:hAnsi="Times New Roman" w:cs="Times New Roman"/>
          <w:bCs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Os atos previstos como infrações administrativas na </w:t>
      </w:r>
      <w:hyperlink r:id="rId42" w:tooltip="http://www.planalto.gov.br/ccivil_03/_ato2019-2022/2021/lei/L14133.htm" w:history="1">
        <w:r>
          <w:rPr>
            <w:rStyle w:val="1050"/>
            <w:rFonts w:ascii="Times New Roman" w:hAnsi="Times New Roman" w:cs="Times New Roman"/>
            <w:bCs/>
            <w:sz w:val="24"/>
          </w:rPr>
          <w:t xml:space="preserve">Lei nº 14.133, de 2021</w:t>
        </w:r>
      </w:hyperlink>
      <w:r>
        <w:rPr>
          <w:rFonts w:ascii="Times New Roman" w:hAnsi="Times New Roman" w:cs="Times New Roman"/>
          <w:bCs/>
          <w:sz w:val="24"/>
        </w:rPr>
        <w:t xml:space="preserve">, ou em outras leis de licitações e contratos da Administração Pública que também sejam tipificados como atos lesivos na </w:t>
      </w:r>
      <w:hyperlink r:id="rId43" w:tooltip="https://www.planalto.gov.br/ccivil_03/_ato2011-2014/2013/lei/l12846.htm" w:history="1">
        <w:r>
          <w:rPr>
            <w:rStyle w:val="1050"/>
            <w:rFonts w:ascii="Times New Roman" w:hAnsi="Times New Roman" w:cs="Times New Roman"/>
            <w:bCs/>
            <w:sz w:val="24"/>
          </w:rPr>
          <w:t xml:space="preserve">Lei nº 12.846, de 1º de agosto de </w:t>
        </w:r>
        <w:r>
          <w:rPr>
            <w:rStyle w:val="1050"/>
            <w:rFonts w:ascii="Times New Roman" w:hAnsi="Times New Roman" w:cs="Times New Roman"/>
            <w:bCs/>
            <w:sz w:val="24"/>
          </w:rPr>
          <w:t xml:space="preserve">2013</w:t>
        </w:r>
      </w:hyperlink>
      <w:r>
        <w:rPr>
          <w:rFonts w:ascii="Times New Roman" w:hAnsi="Times New Roman" w:cs="Times New Roman"/>
          <w:bCs/>
          <w:sz w:val="24"/>
        </w:rPr>
        <w:t xml:space="preserve">, serão apurados e julgados conjuntamente, nos mesmos autos, observados o rito procedimental e autoridade competente definidos na referida Lei (</w:t>
      </w:r>
      <w:hyperlink r:id="rId44" w:tooltip="http://www.planalto.gov.br/ccivil_03/_ato2019-2022/2021/lei/L14133.htm#art159" w:anchor="art159" w:history="1">
        <w:r>
          <w:rPr>
            <w:rStyle w:val="1050"/>
            <w:rFonts w:ascii="Times New Roman" w:hAnsi="Times New Roman" w:cs="Times New Roman"/>
            <w:bCs/>
            <w:sz w:val="24"/>
          </w:rPr>
          <w:t xml:space="preserve">art. 159</w:t>
        </w:r>
      </w:hyperlink>
      <w:r>
        <w:rPr>
          <w:rFonts w:ascii="Times New Roman" w:hAnsi="Times New Roman" w:cs="Times New Roman"/>
          <w:bCs/>
          <w:sz w:val="24"/>
        </w:rPr>
        <w:t xml:space="preserve">).</w:t>
      </w:r>
      <w:r>
        <w:rPr>
          <w:rFonts w:ascii="Times New Roman" w:hAnsi="Times New Roman" w:cs="Times New Roman"/>
          <w:bCs/>
          <w:sz w:val="24"/>
        </w:rPr>
      </w:r>
      <w:r>
        <w:rPr>
          <w:rFonts w:ascii="Times New Roman" w:hAnsi="Times New Roman" w:cs="Times New Roman"/>
          <w:bCs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bCs/>
          <w:i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A personalidade jurídica do Contratado poderá ser desconsiderada sempre que utilizada com abuso do direito para facilitar, e</w:t>
      </w:r>
      <w:r>
        <w:rPr>
          <w:rFonts w:ascii="Times New Roman" w:hAnsi="Times New Roman" w:cs="Times New Roman"/>
          <w:bCs/>
          <w:sz w:val="24"/>
        </w:rPr>
        <w:t xml:space="preserve">ncobrir ou dissimular a prática dos atos ilícitos previstos neste Contrato ou para provocar confusão patrimonial, e, nesse caso, todos os efeitos das sanções aplicadas à pessoa jurídica serão estendidos aos seus administradores e sócios com poderes de admi</w:t>
      </w:r>
      <w:r>
        <w:rPr>
          <w:rFonts w:ascii="Times New Roman" w:hAnsi="Times New Roman" w:cs="Times New Roman"/>
          <w:bCs/>
          <w:sz w:val="24"/>
        </w:rPr>
        <w:t xml:space="preserve">nistração, à pessoa jurídica sucessora ou à empresa do mesmo ramo com relação de coligação ou controle, de fato ou de direito, com o Contratado, observados, em todos os casos, o contraditório, a ampla defesa e a obrigatoriedade de análise jurídica prévia (</w:t>
      </w:r>
      <w:hyperlink r:id="rId45" w:tooltip="http://www.planalto.gov.br/ccivil_03/_ato2019-2022/2021/lei/L14133.htm#art160" w:anchor="art160" w:history="1">
        <w:r>
          <w:rPr>
            <w:rStyle w:val="1050"/>
            <w:rFonts w:ascii="Times New Roman" w:hAnsi="Times New Roman" w:cs="Times New Roman"/>
            <w:bCs/>
            <w:sz w:val="24"/>
          </w:rPr>
          <w:t xml:space="preserve">art. 160</w:t>
        </w:r>
      </w:hyperlink>
      <w:r>
        <w:rPr>
          <w:rFonts w:ascii="Times New Roman" w:hAnsi="Times New Roman" w:cs="Times New Roman"/>
          <w:bCs/>
          <w:sz w:val="24"/>
        </w:rPr>
        <w:t xml:space="preserve">)</w:t>
      </w:r>
      <w:r>
        <w:rPr>
          <w:rFonts w:ascii="Times New Roman" w:hAnsi="Times New Roman" w:cs="Times New Roman"/>
          <w:bCs/>
          <w:i/>
          <w:sz w:val="24"/>
        </w:rPr>
      </w:r>
      <w:r>
        <w:rPr>
          <w:rFonts w:ascii="Times New Roman" w:hAnsi="Times New Roman" w:cs="Times New Roman"/>
          <w:bCs/>
          <w:i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bCs/>
          <w:i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 O Contratante deverá, no prazo máximo 15 (quinze) dias úteis, contado da data de aplicação da sanção, informar e manter atualizados os dados relativos às sanções por </w:t>
      </w:r>
      <w:r>
        <w:rPr>
          <w:rFonts w:ascii="Times New Roman" w:hAnsi="Times New Roman" w:cs="Times New Roman"/>
          <w:bCs/>
          <w:sz w:val="24"/>
        </w:rPr>
        <w:t xml:space="preserve">ele </w:t>
      </w:r>
      <w:r>
        <w:rPr>
          <w:rFonts w:ascii="Times New Roman" w:hAnsi="Times New Roman" w:cs="Times New Roman"/>
          <w:bCs/>
          <w:sz w:val="24"/>
        </w:rPr>
        <w:t xml:space="preserve">aplicadas, para fins de publicidade no Cadastro Nacional de Empresas Inidôneas e Suspensas (</w:t>
      </w:r>
      <w:r>
        <w:rPr>
          <w:rFonts w:ascii="Times New Roman" w:hAnsi="Times New Roman" w:cs="Times New Roman"/>
          <w:bCs/>
          <w:sz w:val="24"/>
        </w:rPr>
        <w:t xml:space="preserve">Ceis</w:t>
      </w:r>
      <w:r>
        <w:rPr>
          <w:rFonts w:ascii="Times New Roman" w:hAnsi="Times New Roman" w:cs="Times New Roman"/>
          <w:bCs/>
          <w:sz w:val="24"/>
        </w:rPr>
        <w:t xml:space="preserve">) e no Cadastro Nacional de Empresas Punidas (</w:t>
      </w:r>
      <w:r>
        <w:rPr>
          <w:rFonts w:ascii="Times New Roman" w:hAnsi="Times New Roman" w:cs="Times New Roman"/>
          <w:bCs/>
          <w:sz w:val="24"/>
        </w:rPr>
        <w:t xml:space="preserve">Cnep</w:t>
      </w:r>
      <w:r>
        <w:rPr>
          <w:rFonts w:ascii="Times New Roman" w:hAnsi="Times New Roman" w:cs="Times New Roman"/>
          <w:bCs/>
          <w:sz w:val="24"/>
        </w:rPr>
        <w:t xml:space="preserve">), instituídos no âmbito do Poder Executivo Federal. (</w:t>
      </w:r>
      <w:hyperlink r:id="rId46" w:tooltip="http://www.planalto.gov.br/ccivil_03/_ato2019-2022/2021/lei/L14133.htm#art161" w:anchor="art161" w:history="1">
        <w:r>
          <w:rPr>
            <w:rStyle w:val="1050"/>
            <w:rFonts w:ascii="Times New Roman" w:hAnsi="Times New Roman" w:cs="Times New Roman"/>
            <w:bCs/>
            <w:sz w:val="24"/>
          </w:rPr>
          <w:t xml:space="preserve">Art. 161</w:t>
        </w:r>
      </w:hyperlink>
      <w:r>
        <w:rPr>
          <w:rFonts w:ascii="Times New Roman" w:hAnsi="Times New Roman" w:cs="Times New Roman"/>
          <w:bCs/>
          <w:sz w:val="24"/>
        </w:rPr>
        <w:t xml:space="preserve">)</w:t>
      </w:r>
      <w:r>
        <w:rPr>
          <w:rFonts w:ascii="Times New Roman" w:hAnsi="Times New Roman" w:cs="Times New Roman"/>
          <w:bCs/>
          <w:i/>
          <w:sz w:val="24"/>
        </w:rPr>
      </w:r>
      <w:r>
        <w:rPr>
          <w:rFonts w:ascii="Times New Roman" w:hAnsi="Times New Roman" w:cs="Times New Roman"/>
          <w:bCs/>
          <w:i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bCs/>
          <w:i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As sanções de impedimento de licitar e contratar e declaração de inidoneidade para licitar ou contratar são passíveis de reabilitação na forma do </w:t>
      </w:r>
      <w:hyperlink r:id="rId47" w:tooltip="http://www.planalto.gov.br/ccivil_03/_ato2019-2022/2021/lei/L14133.htm#art163" w:anchor="art163" w:history="1">
        <w:r>
          <w:rPr>
            <w:rStyle w:val="1050"/>
            <w:rFonts w:ascii="Times New Roman" w:hAnsi="Times New Roman" w:cs="Times New Roman"/>
            <w:bCs/>
            <w:sz w:val="24"/>
          </w:rPr>
          <w:t xml:space="preserve">art. 163 da Lei nº 14.133, de 2021.</w:t>
        </w:r>
      </w:hyperlink>
      <w:r>
        <w:rPr>
          <w:rFonts w:ascii="Times New Roman" w:hAnsi="Times New Roman" w:cs="Times New Roman"/>
          <w:bCs/>
          <w:i/>
          <w:sz w:val="24"/>
        </w:rPr>
      </w:r>
      <w:r>
        <w:rPr>
          <w:rFonts w:ascii="Times New Roman" w:hAnsi="Times New Roman" w:cs="Times New Roman"/>
          <w:bCs/>
          <w:i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As sanções por atos praticados no decorrer da contratação estão previstas nos anexos a este Aviso.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pStyle w:val="996"/>
        <w:pBdr/>
        <w:spacing/>
        <w:ind/>
        <w:rPr>
          <w:rFonts w:ascii="Times New Roman" w:hAnsi="Times New Roman" w:cs="Times New Roman"/>
          <w:sz w:val="24"/>
        </w:rPr>
      </w:pPr>
      <w:r/>
      <w:bookmarkStart w:id="33" w:name="_Toc142925871"/>
      <w:r>
        <w:rPr>
          <w:rFonts w:ascii="Times New Roman" w:hAnsi="Times New Roman" w:cs="Times New Roman"/>
          <w:sz w:val="24"/>
        </w:rPr>
        <w:t xml:space="preserve">DAS DISPOSIÇÕES GERAIS</w:t>
      </w:r>
      <w:bookmarkEnd w:id="33"/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No caso de todos os fornecedores restarem desclassificados ou inabilitados (procedimento fracassado), a Administração poderá:</w:t>
      </w:r>
      <w:r>
        <w:rPr>
          <w:rFonts w:ascii="Times New Roman" w:hAnsi="Times New Roman" w:cs="Times New Roman"/>
          <w:color w:val="000000"/>
          <w:sz w:val="24"/>
        </w:rPr>
      </w:r>
      <w:r>
        <w:rPr>
          <w:rFonts w:ascii="Times New Roman" w:hAnsi="Times New Roman" w:cs="Times New Roman"/>
          <w:color w:val="000000"/>
          <w:sz w:val="24"/>
        </w:rPr>
      </w:r>
    </w:p>
    <w:p>
      <w:pPr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/>
          <w:sz w:val="24"/>
        </w:rPr>
      </w:pPr>
      <w:r/>
      <w:bookmarkStart w:id="34" w:name="_Ref143510170"/>
      <w:r>
        <w:rPr>
          <w:rFonts w:ascii="Times New Roman" w:hAnsi="Times New Roman" w:cs="Times New Roman"/>
          <w:color w:val="000000"/>
          <w:sz w:val="24"/>
        </w:rPr>
        <w:t xml:space="preserve">republicar o presente aviso com uma nova data;</w:t>
      </w:r>
      <w:bookmarkEnd w:id="34"/>
      <w:r>
        <w:rPr>
          <w:rFonts w:ascii="Times New Roman" w:hAnsi="Times New Roman" w:cs="Times New Roman"/>
          <w:color w:val="000000"/>
          <w:sz w:val="24"/>
        </w:rPr>
      </w:r>
      <w:r>
        <w:rPr>
          <w:rFonts w:ascii="Times New Roman" w:hAnsi="Times New Roman" w:cs="Times New Roman"/>
          <w:color w:val="000000"/>
          <w:sz w:val="24"/>
        </w:rPr>
      </w:r>
    </w:p>
    <w:p>
      <w:pPr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/>
          <w:sz w:val="24"/>
        </w:rPr>
      </w:pPr>
      <w:r/>
      <w:bookmarkStart w:id="35" w:name="_Ref143510198"/>
      <w:r>
        <w:rPr>
          <w:rFonts w:ascii="Times New Roman" w:hAnsi="Times New Roman" w:cs="Times New Roman"/>
          <w:color w:val="000000"/>
          <w:sz w:val="24"/>
        </w:rPr>
        <w:t xml:space="preserve">valer-se, para a contratação, de proposta obtida na pesquisa de preços que serviu de base ao procedimento, se houver, privilegiando-se os menores preços, sempre que possível, e desde que atendidas às condições de habilitação exigidas.</w:t>
      </w:r>
      <w:bookmarkEnd w:id="35"/>
      <w:r>
        <w:rPr>
          <w:rFonts w:ascii="Times New Roman" w:hAnsi="Times New Roman" w:cs="Times New Roman"/>
          <w:color w:val="000000"/>
          <w:sz w:val="24"/>
        </w:rPr>
      </w:r>
      <w:r>
        <w:rPr>
          <w:rFonts w:ascii="Times New Roman" w:hAnsi="Times New Roman" w:cs="Times New Roman"/>
          <w:color w:val="000000"/>
          <w:sz w:val="24"/>
        </w:rPr>
      </w:r>
    </w:p>
    <w:p>
      <w:pPr>
        <w:numPr>
          <w:ilvl w:val="3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No caso do subitem anterior, a contratação será operacionalizada fora deste procedimento.</w:t>
      </w:r>
      <w:r>
        <w:rPr>
          <w:rFonts w:ascii="Times New Roman" w:hAnsi="Times New Roman" w:cs="Times New Roman"/>
          <w:color w:val="000000"/>
          <w:sz w:val="24"/>
        </w:rPr>
      </w:r>
      <w:r>
        <w:rPr>
          <w:rFonts w:ascii="Times New Roman" w:hAnsi="Times New Roman" w:cs="Times New Roman"/>
          <w:color w:val="000000"/>
          <w:sz w:val="24"/>
        </w:rPr>
      </w:r>
    </w:p>
    <w:p>
      <w:pPr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fixar prazo para que possa haver adequação das propostas ou da documentação de habilitação, conforme o caso.</w:t>
      </w:r>
      <w:r>
        <w:rPr>
          <w:rFonts w:ascii="Times New Roman" w:hAnsi="Times New Roman" w:cs="Times New Roman"/>
          <w:color w:val="000000"/>
          <w:sz w:val="24"/>
        </w:rPr>
      </w:r>
      <w:r>
        <w:rPr>
          <w:rFonts w:ascii="Times New Roman" w:hAnsi="Times New Roman" w:cs="Times New Roman"/>
          <w:color w:val="000000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As providências dos subitens </w:t>
      </w:r>
      <w:r>
        <w:rPr>
          <w:rFonts w:ascii="Times New Roman" w:hAnsi="Times New Roman" w:cs="Times New Roman"/>
          <w:color w:val="000000"/>
          <w:sz w:val="24"/>
        </w:rPr>
        <w:fldChar w:fldCharType="begin"/>
      </w:r>
      <w:r>
        <w:rPr>
          <w:rFonts w:ascii="Times New Roman" w:hAnsi="Times New Roman" w:cs="Times New Roman"/>
          <w:color w:val="000000"/>
          <w:sz w:val="24"/>
        </w:rPr>
        <w:instrText xml:space="preserve"> REF _Ref143510170 \r \h </w:instrText>
      </w:r>
      <w:r>
        <w:rPr>
          <w:rFonts w:ascii="Times New Roman" w:hAnsi="Times New Roman" w:cs="Times New Roman"/>
          <w:color w:val="000000"/>
          <w:sz w:val="24"/>
        </w:rPr>
        <w:instrText xml:space="preserve"> \* MERGEFORMAT </w:instrText>
      </w:r>
      <w:r>
        <w:rPr>
          <w:rFonts w:ascii="Times New Roman" w:hAnsi="Times New Roman" w:cs="Times New Roman"/>
          <w:color w:val="000000"/>
          <w:sz w:val="24"/>
        </w:rPr>
        <w:fldChar w:fldCharType="separate"/>
      </w:r>
      <w:r>
        <w:rPr>
          <w:rFonts w:ascii="Times New Roman" w:hAnsi="Times New Roman" w:cs="Times New Roman"/>
          <w:color w:val="000000"/>
          <w:sz w:val="24"/>
        </w:rPr>
        <w:t xml:space="preserve">12.1.1</w:t>
      </w:r>
      <w:r>
        <w:rPr>
          <w:rFonts w:ascii="Times New Roman" w:hAnsi="Times New Roman" w:cs="Times New Roman"/>
          <w:color w:val="000000"/>
          <w:sz w:val="24"/>
        </w:rPr>
        <w:fldChar w:fldCharType="end"/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 xml:space="preserve"> e </w:t>
      </w:r>
      <w:r>
        <w:rPr>
          <w:rFonts w:ascii="Times New Roman" w:hAnsi="Times New Roman" w:cs="Times New Roman"/>
          <w:color w:val="000000"/>
          <w:sz w:val="24"/>
        </w:rPr>
        <w:fldChar w:fldCharType="begin"/>
      </w:r>
      <w:r>
        <w:rPr>
          <w:rFonts w:ascii="Times New Roman" w:hAnsi="Times New Roman" w:cs="Times New Roman"/>
          <w:color w:val="000000"/>
          <w:sz w:val="24"/>
        </w:rPr>
        <w:instrText xml:space="preserve"> REF _Ref143510198 \r \h </w:instrText>
      </w:r>
      <w:r>
        <w:rPr>
          <w:rFonts w:ascii="Times New Roman" w:hAnsi="Times New Roman" w:cs="Times New Roman"/>
          <w:color w:val="000000"/>
          <w:sz w:val="24"/>
        </w:rPr>
        <w:instrText xml:space="preserve"> \* MERGEFORMAT </w:instrText>
      </w:r>
      <w:r>
        <w:rPr>
          <w:rFonts w:ascii="Times New Roman" w:hAnsi="Times New Roman" w:cs="Times New Roman"/>
          <w:color w:val="000000"/>
          <w:sz w:val="24"/>
        </w:rPr>
        <w:fldChar w:fldCharType="separate"/>
      </w:r>
      <w:r>
        <w:rPr>
          <w:rFonts w:ascii="Times New Roman" w:hAnsi="Times New Roman" w:cs="Times New Roman"/>
          <w:color w:val="000000"/>
          <w:sz w:val="24"/>
        </w:rPr>
        <w:t xml:space="preserve">12.1.2</w:t>
      </w:r>
      <w:r>
        <w:rPr>
          <w:rFonts w:ascii="Times New Roman" w:hAnsi="Times New Roman" w:cs="Times New Roman"/>
          <w:color w:val="000000"/>
          <w:sz w:val="24"/>
        </w:rPr>
        <w:fldChar w:fldCharType="end"/>
      </w:r>
      <w:r>
        <w:rPr>
          <w:rFonts w:ascii="Times New Roman" w:hAnsi="Times New Roman" w:cs="Times New Roman"/>
          <w:color w:val="000000"/>
          <w:sz w:val="24"/>
        </w:rPr>
        <w:t xml:space="preserve"> também poderão ser utilizadas se não houver o comparecimento de quaisquer fornecedores interessados (procedimento deserto).</w:t>
      </w:r>
      <w:r>
        <w:rPr>
          <w:rFonts w:ascii="Times New Roman" w:hAnsi="Times New Roman" w:cs="Times New Roman"/>
          <w:color w:val="000000"/>
          <w:sz w:val="24"/>
        </w:rPr>
      </w:r>
      <w:r>
        <w:rPr>
          <w:rFonts w:ascii="Times New Roman" w:hAnsi="Times New Roman" w:cs="Times New Roman"/>
          <w:color w:val="000000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Caberá ao fornecedor acompanhar as operações, ficando responsável pelo ônus decorrente da perda do negócio diante da inobservância de quaisquer mensagens emitidas pela Administração ou de sua desconexão.</w:t>
      </w:r>
      <w:r>
        <w:rPr>
          <w:rFonts w:ascii="Times New Roman" w:hAnsi="Times New Roman" w:cs="Times New Roman"/>
          <w:color w:val="000000"/>
          <w:sz w:val="24"/>
        </w:rPr>
      </w:r>
      <w:r>
        <w:rPr>
          <w:rFonts w:ascii="Times New Roman" w:hAnsi="Times New Roman" w:cs="Times New Roman"/>
          <w:color w:val="000000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Não havendo expediente ou oco</w:t>
      </w:r>
      <w:r>
        <w:rPr>
          <w:rFonts w:ascii="Times New Roman" w:hAnsi="Times New Roman" w:cs="Times New Roman"/>
          <w:color w:val="000000"/>
          <w:sz w:val="24"/>
        </w:rPr>
        <w:t xml:space="preserve">rrendo qualquer fato superveniente que impeça a realização do certame na data marcada, a sessão será automaticamente transferida para o primeiro dia útil subsequente, no mesmo horário anteriormente estabelecido, desde que não haja comunicação em contrário.</w:t>
      </w:r>
      <w:r>
        <w:rPr>
          <w:rFonts w:ascii="Times New Roman" w:hAnsi="Times New Roman" w:cs="Times New Roman"/>
          <w:color w:val="000000"/>
          <w:sz w:val="24"/>
        </w:rPr>
      </w:r>
      <w:r>
        <w:rPr>
          <w:rFonts w:ascii="Times New Roman" w:hAnsi="Times New Roman" w:cs="Times New Roman"/>
          <w:color w:val="000000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Os horários estabelecidos na divulgação deste procedimento e durante o envio de lances observarão o horário de Brasília-DF, inclusive para contagem de tempo e registro no Sistema e na documentação relativa ao procedimento.</w:t>
      </w:r>
      <w:r>
        <w:rPr>
          <w:rFonts w:ascii="Times New Roman" w:hAnsi="Times New Roman" w:cs="Times New Roman"/>
          <w:color w:val="000000"/>
          <w:sz w:val="24"/>
        </w:rPr>
      </w:r>
      <w:r>
        <w:rPr>
          <w:rFonts w:ascii="Times New Roman" w:hAnsi="Times New Roman" w:cs="Times New Roman"/>
          <w:color w:val="000000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No julgamento das propostas e da habilitação, a Administração poder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á sanar erros ou falhas que não alterem a substância das propostas, dos documentos e sua validade jurídica, mediante despacho fundamentado, registrado em ata e acessível a todos, atribuindo-lhes validade e eficácia para fins de habilitação e classificação.</w:t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As normas d</w:t>
      </w:r>
      <w:r>
        <w:rPr>
          <w:rFonts w:ascii="Times New Roman" w:hAnsi="Times New Roman" w:cs="Times New Roman"/>
          <w:color w:val="000000"/>
          <w:sz w:val="24"/>
        </w:rPr>
        <w:t xml:space="preserve">isciplinadoras deste Aviso de Contratação Direta serão sempre interpretadas em favor da ampliação da disputa entre os interessados, desde que não comprometam o interesse da Administração, o princípio da isonomia, a finalidade e a segurança da contratação. </w:t>
      </w:r>
      <w:r>
        <w:rPr>
          <w:rFonts w:ascii="Times New Roman" w:hAnsi="Times New Roman" w:cs="Times New Roman"/>
          <w:color w:val="000000"/>
          <w:sz w:val="24"/>
        </w:rPr>
      </w:r>
      <w:r>
        <w:rPr>
          <w:rFonts w:ascii="Times New Roman" w:hAnsi="Times New Roman" w:cs="Times New Roman"/>
          <w:color w:val="000000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Os fornecedores assumem todos os custos de preparação e apresentação de suas propostas e a Administração não será, em nenhum caso, responsável por esses custos, independentemente da condução ou do resultado do processo de contratação.</w:t>
      </w:r>
      <w:r>
        <w:rPr>
          <w:rFonts w:ascii="Times New Roman" w:hAnsi="Times New Roman" w:cs="Times New Roman"/>
          <w:color w:val="000000"/>
          <w:sz w:val="24"/>
        </w:rPr>
      </w:r>
      <w:r>
        <w:rPr>
          <w:rFonts w:ascii="Times New Roman" w:hAnsi="Times New Roman" w:cs="Times New Roman"/>
          <w:color w:val="000000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Em caso de divergência entre disposições deste Aviso de Contratação Direta e de seus anexos ou demais peças que compõem o processo, prevalecerá as deste Aviso.</w:t>
      </w:r>
      <w:r>
        <w:rPr>
          <w:rFonts w:ascii="Times New Roman" w:hAnsi="Times New Roman" w:cs="Times New Roman"/>
          <w:color w:val="000000"/>
          <w:sz w:val="24"/>
        </w:rPr>
      </w:r>
      <w:r>
        <w:rPr>
          <w:rFonts w:ascii="Times New Roman" w:hAnsi="Times New Roman" w:cs="Times New Roman"/>
          <w:color w:val="000000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Da sessão pública será divulgada Ata no sistema eletrônico.</w:t>
      </w:r>
      <w:r>
        <w:rPr>
          <w:rFonts w:ascii="Times New Roman" w:hAnsi="Times New Roman" w:cs="Times New Roman"/>
          <w:color w:val="000000"/>
          <w:sz w:val="24"/>
        </w:rPr>
      </w:r>
      <w:r>
        <w:rPr>
          <w:rFonts w:ascii="Times New Roman" w:hAnsi="Times New Roman" w:cs="Times New Roman"/>
          <w:color w:val="000000"/>
          <w:sz w:val="24"/>
        </w:rPr>
      </w:r>
    </w:p>
    <w:p>
      <w:pPr>
        <w:numPr>
          <w:ilvl w:val="1"/>
          <w:numId w:val="1"/>
        </w:numPr>
        <w:pBdr/>
        <w:spacing w:after="120" w:before="120" w:line="276" w:lineRule="auto"/>
        <w:ind w:firstLine="0" w:left="425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Integram este Aviso de Contratação Direta, para todos os fins e efeitos, os seguintes anexos:</w:t>
      </w:r>
      <w:r>
        <w:rPr>
          <w:rFonts w:ascii="Times New Roman" w:hAnsi="Times New Roman" w:cs="Times New Roman"/>
          <w:color w:val="000000"/>
          <w:sz w:val="24"/>
        </w:rPr>
      </w:r>
      <w:r>
        <w:rPr>
          <w:rFonts w:ascii="Times New Roman" w:hAnsi="Times New Roman" w:cs="Times New Roman"/>
          <w:color w:val="000000"/>
          <w:sz w:val="24"/>
        </w:rPr>
      </w:r>
    </w:p>
    <w:p>
      <w:pPr>
        <w:numPr>
          <w:ilvl w:val="2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ANEXO I – </w:t>
      </w:r>
      <w:r>
        <w:rPr>
          <w:rFonts w:ascii="Times New Roman" w:hAnsi="Times New Roman" w:cs="Times New Roman"/>
          <w:color w:val="000000"/>
          <w:sz w:val="24"/>
        </w:rPr>
        <w:t xml:space="preserve">Termo de Referênc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ia</w:t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numPr>
          <w:ilvl w:val="3"/>
          <w:numId w:val="1"/>
        </w:numPr>
        <w:pBdr/>
        <w:spacing w:after="120" w:before="120" w:line="276" w:lineRule="auto"/>
        <w:ind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APÊNDICE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I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do T R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– Estudo Técnico Preliminar</w:t>
      </w:r>
      <w:r>
        <w:rPr>
          <w:rFonts w:ascii="Times New Roman" w:hAnsi="Times New Roman" w:cs="Times New Roman"/>
          <w:color w:val="000000" w:themeColor="text1"/>
          <w:sz w:val="24"/>
        </w:rPr>
      </w:r>
      <w:r>
        <w:rPr>
          <w:rFonts w:ascii="Times New Roman" w:hAnsi="Times New Roman" w:cs="Times New Roman"/>
          <w:color w:val="000000" w:themeColor="text1"/>
          <w:sz w:val="24"/>
        </w:rPr>
      </w:r>
    </w:p>
    <w:p>
      <w:pPr>
        <w:pBdr/>
        <w:spacing w:after="120" w:line="276" w:lineRule="auto"/>
        <w:ind w:right="-15" w:left="36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</w:r>
      <w:r>
        <w:rPr>
          <w:rFonts w:ascii="Times New Roman" w:hAnsi="Times New Roman" w:cs="Times New Roman"/>
          <w:color w:val="000000"/>
          <w:sz w:val="24"/>
        </w:rPr>
      </w:r>
      <w:r>
        <w:rPr>
          <w:rFonts w:ascii="Times New Roman" w:hAnsi="Times New Roman" w:cs="Times New Roman"/>
          <w:color w:val="000000"/>
          <w:sz w:val="24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Paracambi-RJ, </w:t>
      </w:r>
      <w:r>
        <w:rPr>
          <w:rFonts w:ascii="Times New Roman" w:hAnsi="Times New Roman" w:cs="Times New Roman"/>
          <w:color w:val="000000"/>
          <w:sz w:val="24"/>
        </w:rPr>
        <w:t xml:space="preserve">05 de junho</w:t>
      </w:r>
      <w:r>
        <w:rPr>
          <w:rFonts w:ascii="Times New Roman" w:hAnsi="Times New Roman" w:cs="Times New Roman"/>
          <w:color w:val="000000"/>
          <w:sz w:val="24"/>
        </w:rPr>
        <w:t xml:space="preserve"> de 202</w:t>
      </w:r>
      <w:r>
        <w:rPr>
          <w:rFonts w:ascii="Times New Roman" w:hAnsi="Times New Roman" w:cs="Times New Roman"/>
          <w:color w:val="000000"/>
          <w:sz w:val="24"/>
        </w:rPr>
        <w:t xml:space="preserve">4</w:t>
      </w:r>
      <w:r>
        <w:rPr>
          <w:rFonts w:ascii="Times New Roman" w:hAnsi="Times New Roman" w:cs="Times New Roman"/>
          <w:color w:val="000000"/>
          <w:sz w:val="24"/>
        </w:rPr>
        <w:t xml:space="preserve">.</w:t>
      </w:r>
      <w:r>
        <w:rPr>
          <w:rFonts w:ascii="Times New Roman" w:hAnsi="Times New Roman" w:cs="Times New Roman"/>
          <w:color w:val="000000"/>
          <w:sz w:val="24"/>
        </w:rPr>
      </w:r>
      <w:r>
        <w:rPr>
          <w:rFonts w:ascii="Times New Roman" w:hAnsi="Times New Roman" w:cs="Times New Roman"/>
          <w:color w:val="000000"/>
          <w:sz w:val="24"/>
        </w:rPr>
      </w:r>
    </w:p>
    <w:p>
      <w:pPr>
        <w:pBdr/>
        <w:tabs>
          <w:tab w:val="left" w:leader="none" w:pos="1440"/>
        </w:tabs>
        <w:spacing w:after="120" w:before="120" w:line="276" w:lineRule="auto"/>
        <w:ind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</w:r>
      <w:r>
        <w:rPr>
          <w:rFonts w:ascii="Times New Roman" w:hAnsi="Times New Roman" w:cs="Times New Roman"/>
          <w:color w:val="000000"/>
          <w:sz w:val="24"/>
        </w:rPr>
      </w:r>
      <w:r>
        <w:rPr>
          <w:rFonts w:ascii="Times New Roman" w:hAnsi="Times New Roman" w:cs="Times New Roman"/>
          <w:color w:val="000000"/>
          <w:sz w:val="24"/>
        </w:rPr>
      </w:r>
    </w:p>
    <w:p>
      <w:pPr>
        <w:pStyle w:val="1066"/>
        <w:pBdr/>
        <w:tabs>
          <w:tab w:val="left" w:leader="none" w:pos="567"/>
        </w:tabs>
        <w:spacing w:line="360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Bdr/>
        <w:spacing w:line="276" w:lineRule="auto"/>
        <w:ind/>
        <w:jc w:val="center"/>
        <w:rPr>
          <w:rFonts w:ascii="Times New Roman" w:hAnsi="Times New Roman" w:cs="Times New Roman"/>
          <w:b/>
          <w:bCs/>
          <w:iCs/>
          <w:color w:val="000000"/>
          <w:sz w:val="24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</w:rPr>
        <w:t xml:space="preserve">ANDERSON MENDES DIAS – T </w:t>
      </w:r>
      <w:r>
        <w:rPr>
          <w:rFonts w:ascii="Times New Roman" w:hAnsi="Times New Roman" w:cs="Times New Roman"/>
          <w:b/>
          <w:bCs/>
          <w:iCs/>
          <w:color w:val="000000"/>
          <w:sz w:val="24"/>
        </w:rPr>
        <w:t xml:space="preserve">Cel</w:t>
      </w:r>
      <w:r>
        <w:rPr>
          <w:rFonts w:ascii="Times New Roman" w:hAnsi="Times New Roman" w:cs="Times New Roman"/>
          <w:b/>
          <w:bCs/>
          <w:iCs/>
          <w:color w:val="000000"/>
          <w:sz w:val="24"/>
        </w:rPr>
      </w:r>
      <w:r>
        <w:rPr>
          <w:rFonts w:ascii="Times New Roman" w:hAnsi="Times New Roman" w:cs="Times New Roman"/>
          <w:b/>
          <w:bCs/>
          <w:iCs/>
          <w:color w:val="000000"/>
          <w:sz w:val="24"/>
        </w:rPr>
      </w:r>
    </w:p>
    <w:p>
      <w:pPr>
        <w:pBdr/>
        <w:spacing w:line="276" w:lineRule="auto"/>
        <w:ind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Cs/>
          <w:color w:val="000000"/>
          <w:sz w:val="24"/>
        </w:rPr>
        <w:t xml:space="preserve">O</w:t>
      </w:r>
      <w:r>
        <w:rPr>
          <w:rFonts w:ascii="Times New Roman" w:hAnsi="Times New Roman" w:cs="Times New Roman"/>
          <w:bCs/>
          <w:iCs/>
          <w:color w:val="000000"/>
          <w:sz w:val="24"/>
        </w:rPr>
        <w:t xml:space="preserve">rdenador de Despesas do D C </w:t>
      </w:r>
      <w:r>
        <w:rPr>
          <w:rFonts w:ascii="Times New Roman" w:hAnsi="Times New Roman" w:cs="Times New Roman"/>
          <w:bCs/>
          <w:iCs/>
          <w:color w:val="000000"/>
          <w:sz w:val="24"/>
        </w:rPr>
        <w:t xml:space="preserve">Mun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4"/>
          <w:lang w:eastAsia="en-US"/>
        </w:rPr>
      </w:pPr>
      <w:r>
        <w:rPr>
          <w:rFonts w:ascii="Times New Roman" w:hAnsi="Times New Roman" w:cs="Times New Roman"/>
          <w:b/>
          <w:bCs/>
          <w:sz w:val="24"/>
          <w:lang w:eastAsia="en-US"/>
        </w:rPr>
      </w:r>
      <w:r>
        <w:rPr>
          <w:rFonts w:ascii="Times New Roman" w:hAnsi="Times New Roman" w:cs="Times New Roman"/>
          <w:b/>
          <w:bCs/>
          <w:sz w:val="24"/>
          <w:lang w:eastAsia="en-US"/>
        </w:rPr>
      </w:r>
      <w:r>
        <w:rPr>
          <w:rFonts w:ascii="Times New Roman" w:hAnsi="Times New Roman" w:cs="Times New Roman"/>
          <w:b/>
          <w:bCs/>
          <w:sz w:val="24"/>
          <w:lang w:eastAsia="en-US"/>
        </w:rPr>
      </w:r>
    </w:p>
    <w:p>
      <w:pPr>
        <w:pBdr/>
        <w:spacing/>
        <w:ind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sectPr>
      <w:headerReference w:type="default" r:id="rId9"/>
      <w:headerReference w:type="first" r:id="rId10"/>
      <w:footerReference w:type="default" r:id="rId11"/>
      <w:footnotePr/>
      <w:endnotePr/>
      <w:type w:val="nextPage"/>
      <w:pgSz w:h="16838" w:orient="landscape" w:w="11906"/>
      <w:pgMar w:top="1135" w:right="1701" w:bottom="1417" w:left="1701" w:header="0" w:footer="708" w:gutter="0"/>
      <w:cols w:num="1" w:sep="0" w:space="720" w:equalWidth="1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Autor" w:initials="A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Nota Explicativa: Conforme art. 15, inciso IV, do Decreto n.º 11.462, de 2023, deverá ser especificado neste item do aviso a possibilidade de o fornecedor oferecer ou não proposta em quantitativo inferior ao máximo previsto no Termo de Referência e obrigar-se nos limites dela.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2884D66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  <w:endnote w:type="continuationNotice" w:id="1">
    <w:p>
      <w:pPr>
        <w:pBdr/>
        <w:spacing/>
        <w:ind/>
        <w:rPr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urich BT">
    <w:panose1 w:val="02000603000000000000"/>
  </w:font>
  <w:font w:name="DejaVu Sans">
    <w:panose1 w:val="020B0602030504020204"/>
  </w:font>
  <w:font w:name="Liberation Serif">
    <w:panose1 w:val="02020603050405020304"/>
  </w:font>
  <w:font w:name="Lucida Sans Unicode">
    <w:panose1 w:val="020B0602030504020204"/>
  </w:font>
  <w:font w:name="Lohit Hindi">
    <w:panose1 w:val="02000603000000000000"/>
  </w:font>
  <w:font w:name="Arial Unicode MS">
    <w:panose1 w:val="020B0604020202020204"/>
  </w:font>
  <w:font w:name="Calibri">
    <w:panose1 w:val="020F0502020204030204"/>
  </w:font>
  <w:font w:name="Noto Sans CJK SC">
    <w:panose1 w:val="02000603000000000000"/>
  </w:font>
  <w:font w:name="FreeSans">
    <w:panose1 w:val="02000603000000000000"/>
  </w:font>
  <w:font w:name="Times New Roman">
    <w:panose1 w:val="02020603050405020304"/>
  </w:font>
  <w:font w:name="Liberation Sans">
    <w:panose1 w:val="020B0604020202020204"/>
  </w:font>
  <w:font w:name="Ecofont_Spranq_eco_Sans">
    <w:panose1 w:val="02000603000000000000"/>
  </w:font>
  <w:font w:name="Tahoma">
    <w:panose1 w:val="020B0604030504040204"/>
  </w:font>
  <w:font w:name="Segoe UI">
    <w:panose1 w:val="020B0502040204020203"/>
  </w:font>
  <w:font w:name="WenQuanYi Micro Hei">
    <w:panose1 w:val="02000603000000000000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4"/>
      <w:pBdr/>
      <w:spacing/>
      <w:ind/>
      <w:rPr>
        <w:sz w:val="12"/>
        <w:szCs w:val="12"/>
      </w:rPr>
    </w:pPr>
    <w:r>
      <w:rPr>
        <w:sz w:val="12"/>
        <w:szCs w:val="12"/>
      </w:rPr>
    </w:r>
    <w:r>
      <w:rPr>
        <w:sz w:val="12"/>
        <w:szCs w:val="12"/>
      </w:rPr>
    </w:r>
    <w:r>
      <w:rPr>
        <w:sz w:val="12"/>
        <w:szCs w:val="12"/>
      </w:rPr>
    </w:r>
  </w:p>
  <w:p>
    <w:pPr>
      <w:pBdr/>
      <w:tabs>
        <w:tab w:val="center" w:leader="none" w:pos="4550"/>
        <w:tab w:val="left" w:leader="none" w:pos="5818"/>
      </w:tabs>
      <w:spacing/>
      <w:ind w:right="260"/>
      <w:jc w:val="right"/>
      <w:rPr>
        <w:color w:val="222a35" w:themeColor="text2" w:themeShade="80"/>
        <w:sz w:val="18"/>
        <w:szCs w:val="18"/>
      </w:rPr>
    </w:pPr>
    <w:r>
      <w:rPr>
        <w:color w:val="8496b0" w:themeColor="text2" w:themeTint="99"/>
        <w:spacing w:val="60"/>
        <w:sz w:val="18"/>
        <w:szCs w:val="18"/>
      </w:rPr>
      <w:t xml:space="preserve">Página</w:t>
    </w:r>
    <w:r>
      <w:rPr>
        <w:color w:val="8496b0" w:themeColor="text2" w:themeTint="99"/>
        <w:sz w:val="18"/>
        <w:szCs w:val="18"/>
      </w:rPr>
      <w:t xml:space="preserve"> </w:t>
    </w:r>
    <w:r>
      <w:rPr>
        <w:color w:val="323e4f" w:themeColor="text2" w:themeShade="BF"/>
        <w:sz w:val="18"/>
        <w:szCs w:val="18"/>
      </w:rPr>
      <w:fldChar w:fldCharType="begin"/>
    </w:r>
    <w:r>
      <w:rPr>
        <w:color w:val="323e4f" w:themeColor="text2" w:themeShade="BF"/>
        <w:sz w:val="18"/>
        <w:szCs w:val="18"/>
      </w:rPr>
      <w:instrText xml:space="preserve">PAGE   \* MERGEFORMAT</w:instrText>
    </w:r>
    <w:r>
      <w:rPr>
        <w:color w:val="323e4f" w:themeColor="text2" w:themeShade="BF"/>
        <w:sz w:val="18"/>
        <w:szCs w:val="18"/>
      </w:rPr>
      <w:fldChar w:fldCharType="separate"/>
    </w:r>
    <w:r>
      <w:rPr>
        <w:color w:val="323e4f" w:themeColor="text2" w:themeShade="BF"/>
        <w:sz w:val="18"/>
        <w:szCs w:val="18"/>
      </w:rPr>
      <w:t xml:space="preserve">4</w:t>
    </w:r>
    <w:r>
      <w:rPr>
        <w:color w:val="323e4f" w:themeColor="text2" w:themeShade="BF"/>
        <w:sz w:val="18"/>
        <w:szCs w:val="18"/>
      </w:rPr>
      <w:fldChar w:fldCharType="end"/>
    </w:r>
    <w:r>
      <w:rPr>
        <w:color w:val="323e4f" w:themeColor="text2" w:themeShade="BF"/>
        <w:sz w:val="18"/>
        <w:szCs w:val="18"/>
      </w:rPr>
      <w:t xml:space="preserve"> | </w:t>
    </w:r>
    <w:r>
      <w:rPr>
        <w:color w:val="323e4f" w:themeColor="text2" w:themeShade="BF"/>
        <w:sz w:val="18"/>
        <w:szCs w:val="18"/>
      </w:rPr>
      <w:fldChar w:fldCharType="begin"/>
    </w:r>
    <w:r>
      <w:rPr>
        <w:color w:val="323e4f" w:themeColor="text2" w:themeShade="BF"/>
        <w:sz w:val="18"/>
        <w:szCs w:val="18"/>
      </w:rPr>
      <w:instrText xml:space="preserve">NUMPAGES  \* Arabic  \* MERGEFORMAT</w:instrText>
    </w:r>
    <w:r>
      <w:rPr>
        <w:color w:val="323e4f" w:themeColor="text2" w:themeShade="BF"/>
        <w:sz w:val="18"/>
        <w:szCs w:val="18"/>
      </w:rPr>
      <w:fldChar w:fldCharType="separate"/>
    </w:r>
    <w:r>
      <w:rPr>
        <w:color w:val="323e4f" w:themeColor="text2" w:themeShade="BF"/>
        <w:sz w:val="18"/>
        <w:szCs w:val="18"/>
      </w:rPr>
      <w:t xml:space="preserve">22</w:t>
    </w:r>
    <w:r>
      <w:rPr>
        <w:color w:val="323e4f" w:themeColor="text2" w:themeShade="BF"/>
        <w:sz w:val="18"/>
        <w:szCs w:val="18"/>
      </w:rPr>
      <w:fldChar w:fldCharType="end"/>
    </w:r>
    <w:r>
      <w:rPr>
        <w:color w:val="222a35" w:themeColor="text2" w:themeShade="80"/>
        <w:sz w:val="18"/>
        <w:szCs w:val="18"/>
      </w:rPr>
    </w:r>
    <w:r>
      <w:rPr>
        <w:color w:val="222a35" w:themeColor="text2" w:themeShade="80"/>
        <w:sz w:val="18"/>
        <w:szCs w:val="18"/>
      </w:rPr>
    </w:r>
  </w:p>
  <w:p>
    <w:pPr>
      <w:pStyle w:val="1044"/>
      <w:pBdr/>
      <w:spacing/>
      <w:ind/>
      <w:rPr>
        <w:sz w:val="12"/>
        <w:szCs w:val="12"/>
      </w:rPr>
    </w:pPr>
    <w:r>
      <w:rPr>
        <w:sz w:val="12"/>
        <w:szCs w:val="12"/>
      </w:rPr>
    </w:r>
    <w:r>
      <w:rPr>
        <w:sz w:val="12"/>
        <w:szCs w:val="12"/>
      </w:rPr>
    </w:r>
    <w:r>
      <w:rPr>
        <w:sz w:val="12"/>
        <w:szCs w:val="12"/>
      </w:rPr>
    </w:r>
  </w:p>
  <w:p>
    <w:pPr>
      <w:pStyle w:val="1044"/>
      <w:pBdr/>
      <w:spacing/>
      <w:ind/>
      <w:rPr>
        <w:sz w:val="12"/>
        <w:szCs w:val="12"/>
      </w:rPr>
    </w:pPr>
    <w:r>
      <w:rPr>
        <w:sz w:val="12"/>
        <w:szCs w:val="12"/>
      </w:rPr>
      <w:t xml:space="preserve">Câmara Nacional de Modelos de Licitações e Contratos – CNMLC/CGU/AGU</w:t>
    </w:r>
    <w:r>
      <w:rPr>
        <w:sz w:val="12"/>
        <w:szCs w:val="12"/>
      </w:rPr>
    </w:r>
    <w:r>
      <w:rPr>
        <w:sz w:val="12"/>
        <w:szCs w:val="12"/>
      </w:rPr>
    </w:r>
  </w:p>
  <w:p>
    <w:pPr>
      <w:pStyle w:val="1044"/>
      <w:pBdr/>
      <w:spacing/>
      <w:ind/>
      <w:rPr>
        <w:sz w:val="12"/>
        <w:szCs w:val="12"/>
      </w:rPr>
    </w:pPr>
    <w:r>
      <w:rPr>
        <w:sz w:val="12"/>
        <w:szCs w:val="12"/>
      </w:rPr>
      <w:t xml:space="preserve">Aviso de </w:t>
    </w:r>
    <w:r>
      <w:rPr>
        <w:sz w:val="12"/>
        <w:szCs w:val="12"/>
      </w:rPr>
      <w:t xml:space="preserve">Contratação Direta</w:t>
    </w:r>
    <w:r>
      <w:rPr>
        <w:sz w:val="12"/>
        <w:szCs w:val="12"/>
      </w:rPr>
      <w:t xml:space="preserve"> – Lei nº 14.133/21 e IN SEGES/ME nº 67/2021</w:t>
    </w:r>
    <w:r>
      <w:rPr>
        <w:sz w:val="12"/>
        <w:szCs w:val="12"/>
      </w:rPr>
    </w:r>
    <w:r>
      <w:rPr>
        <w:sz w:val="12"/>
        <w:szCs w:val="12"/>
      </w:rPr>
    </w:r>
  </w:p>
  <w:p>
    <w:pPr>
      <w:pStyle w:val="1044"/>
      <w:pBdr/>
      <w:spacing/>
      <w:ind/>
      <w:rPr>
        <w:sz w:val="12"/>
        <w:szCs w:val="12"/>
      </w:rPr>
    </w:pPr>
    <w:r>
      <w:rPr>
        <w:sz w:val="12"/>
        <w:szCs w:val="12"/>
      </w:rPr>
      <w:t xml:space="preserve">Versão: </w:t>
    </w:r>
    <w:r>
      <w:rPr>
        <w:sz w:val="12"/>
        <w:szCs w:val="12"/>
      </w:rPr>
      <w:t xml:space="preserve">agosto/2023</w:t>
    </w:r>
    <w:r>
      <w:rPr>
        <w:sz w:val="12"/>
        <w:szCs w:val="12"/>
      </w:rPr>
    </w:r>
    <w:r>
      <w:rPr>
        <w:sz w:val="12"/>
        <w:szCs w:val="12"/>
      </w:rPr>
    </w:r>
  </w:p>
  <w:p>
    <w:pPr>
      <w:pStyle w:val="1044"/>
      <w:pBdr/>
      <w:spacing/>
      <w:ind/>
      <w:rPr>
        <w:sz w:val="12"/>
        <w:szCs w:val="12"/>
      </w:rPr>
    </w:pPr>
    <w:r>
      <w:rPr>
        <w:sz w:val="12"/>
        <w:szCs w:val="12"/>
      </w:rPr>
      <w:t xml:space="preserve">Aprovado pela Secretaria de Gestão.</w:t>
    </w:r>
    <w:r>
      <w:rPr>
        <w:sz w:val="12"/>
        <w:szCs w:val="12"/>
      </w:rPr>
    </w:r>
    <w:r>
      <w:rPr>
        <w:sz w:val="12"/>
        <w:szCs w:val="12"/>
      </w:rPr>
    </w:r>
  </w:p>
  <w:p>
    <w:pPr>
      <w:pStyle w:val="1044"/>
      <w:pBdr/>
      <w:spacing/>
      <w:ind/>
      <w:rPr/>
    </w:pPr>
    <w:r>
      <w:rPr>
        <w:sz w:val="12"/>
        <w:szCs w:val="12"/>
      </w:rPr>
      <w:t xml:space="preserve">Identidade visual pela Secretaria de Gestão (versão </w:t>
    </w:r>
    <w:r>
      <w:rPr>
        <w:sz w:val="12"/>
        <w:szCs w:val="12"/>
      </w:rPr>
      <w:t xml:space="preserve">agosto</w:t>
    </w:r>
    <w:r>
      <w:rPr>
        <w:sz w:val="12"/>
        <w:szCs w:val="12"/>
      </w:rPr>
      <w:t xml:space="preserve">/202</w:t>
    </w:r>
    <w:r>
      <w:rPr>
        <w:sz w:val="12"/>
        <w:szCs w:val="12"/>
      </w:rPr>
      <w:t xml:space="preserve">3</w:t>
    </w:r>
    <w:r>
      <w:rPr>
        <w:sz w:val="12"/>
        <w:szCs w:val="12"/>
      </w:rPr>
      <w:t xml:space="preserve">)</w: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  <w:footnote w:type="continuationNotice" w:id="1">
    <w:p>
      <w:pPr>
        <w:pBdr/>
        <w:spacing/>
        <w:ind/>
        <w:rPr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2"/>
      <w:pBdr/>
      <w:spacing/>
      <w:ind/>
      <w:rPr/>
    </w:pPr>
    <w:r/>
    <w:r/>
  </w:p>
  <w:p>
    <w:pPr>
      <w:pStyle w:val="1042"/>
      <w:pBdr/>
      <w:spacing/>
      <w:ind/>
      <w:rPr/>
    </w:pPr>
    <w:r/>
    <w:r/>
  </w:p>
  <w:p>
    <w:pPr>
      <w:pStyle w:val="1042"/>
      <w:pBdr/>
      <w:spacing/>
      <w:ind/>
      <w:rPr/>
    </w:pPr>
    <w:r/>
    <w:r/>
  </w:p>
  <w:p>
    <w:pPr>
      <w:pBdr/>
      <w:spacing/>
      <w:ind/>
      <w:jc w:val="right"/>
      <w:rPr>
        <w:rFonts w:cs="Arial"/>
        <w:b w:val="0"/>
        <w:bCs w:val="0"/>
        <w:color w:val="auto"/>
        <w:sz w:val="20"/>
        <w:szCs w:val="20"/>
      </w:rPr>
    </w:pPr>
    <w:r>
      <w:rPr>
        <w:b w:val="0"/>
        <w:bCs w:val="0"/>
        <w:color w:val="auto"/>
        <w:sz w:val="20"/>
        <w:szCs w:val="20"/>
      </w:rPr>
      <w:t xml:space="preserve">AVISO DE </w:t>
    </w:r>
    <w:r>
      <w:rPr>
        <w:b w:val="0"/>
        <w:bCs w:val="0"/>
        <w:color w:val="auto"/>
        <w:sz w:val="20"/>
        <w:szCs w:val="20"/>
      </w:rPr>
      <w:t xml:space="preserve">CONTRATAÇÃO DIRETA Nº</w:t>
    </w:r>
    <w:r>
      <w:rPr>
        <w:b w:val="0"/>
        <w:bCs w:val="0"/>
        <w:color w:val="auto"/>
        <w:sz w:val="20"/>
        <w:szCs w:val="20"/>
      </w:rPr>
      <w:t xml:space="preserve"> 90</w:t>
    </w:r>
    <w:r>
      <w:rPr>
        <w:rFonts w:cs="Arial"/>
        <w:b w:val="0"/>
        <w:bCs w:val="0"/>
        <w:color w:val="auto"/>
        <w:sz w:val="20"/>
        <w:szCs w:val="20"/>
      </w:rPr>
      <w:t xml:space="preserve">004/202</w:t>
    </w:r>
    <w:r>
      <w:rPr>
        <w:rFonts w:cs="Arial"/>
        <w:b w:val="0"/>
        <w:bCs w:val="0"/>
        <w:color w:val="auto"/>
        <w:sz w:val="20"/>
        <w:szCs w:val="20"/>
      </w:rPr>
      <w:t xml:space="preserve">4</w:t>
    </w:r>
    <w:r>
      <w:rPr>
        <w:rFonts w:cs="Arial"/>
        <w:b w:val="0"/>
        <w:bCs w:val="0"/>
        <w:color w:val="auto"/>
        <w:sz w:val="20"/>
        <w:szCs w:val="20"/>
      </w:rPr>
    </w:r>
    <w:r>
      <w:rPr>
        <w:rFonts w:cs="Arial"/>
        <w:b w:val="0"/>
        <w:bCs w:val="0"/>
        <w:color w:val="auto"/>
        <w:sz w:val="20"/>
        <w:szCs w:val="20"/>
      </w:rPr>
    </w:r>
  </w:p>
  <w:p>
    <w:pPr>
      <w:pStyle w:val="1042"/>
      <w:pBdr/>
      <w:spacing/>
      <w:ind/>
      <w:jc w:val="right"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2"/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0" locked="0" layoutInCell="1" allowOverlap="1">
              <wp:simplePos x="0" y="0"/>
              <wp:positionH relativeFrom="page">
                <wp:posOffset>-13767</wp:posOffset>
              </wp:positionH>
              <wp:positionV relativeFrom="page">
                <wp:posOffset>0</wp:posOffset>
              </wp:positionV>
              <wp:extent cx="7560000" cy="10693064"/>
              <wp:effectExtent l="0" t="0" r="3175" b="0"/>
              <wp:wrapNone/>
              <wp:docPr id="1" name="Imagem 1526494727" descr="Texto&#10;&#10;Descrição gerada automaticamente com confiança médi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Imagem 8" descr="Texto&#10;&#10;Descrição gerada automaticamente com confiança média">
                        <a:hlinkClick r:id="rId1"/>
                      </pic:cNvPr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2"/>
                      <a:stretch/>
                    </pic:blipFill>
                    <pic:spPr bwMode="auto">
                      <a:xfrm>
                        <a:off x="0" y="0"/>
                        <a:ext cx="7560000" cy="1069306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51658240;o:allowoverlap:true;o:allowincell:true;mso-position-horizontal-relative:page;margin-left:-1.08pt;mso-position-horizontal:absolute;mso-position-vertical-relative:page;margin-top:0.00pt;mso-position-vertical:absolute;width:595.28pt;height:841.97pt;mso-wrap-distance-left:9.00pt;mso-wrap-distance-top:0.00pt;mso-wrap-distance-right:9.00pt;mso-wrap-distance-bottom:0.00pt;z-index:1;" stroked="false">
              <v:imagedata r:id="rId2" o:title=""/>
              <o:lock v:ext="edit" rotation="t"/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spacing/>
        <w:ind w:hanging="495" w:left="495"/>
      </w:pPr>
      <w:rPr>
        <w:rFonts w:hint="default"/>
      </w:rPr>
      <w:start w:val="3"/>
      <w:suff w:val="tab"/>
    </w:lvl>
    <w:lvl w:ilvl="1">
      <w:isLgl w:val="false"/>
      <w:lvlJc w:val="left"/>
      <w:lvlText w:val="%1.%2."/>
      <w:numFmt w:val="decimal"/>
      <w:pPr>
        <w:pBdr/>
        <w:spacing/>
        <w:ind w:hanging="495" w:left="495"/>
      </w:pPr>
      <w:rPr>
        <w:rFonts w:hint="default"/>
      </w:rPr>
      <w:start w:val="8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800" w:left="1800"/>
      </w:pPr>
      <w:rPr>
        <w:rFonts w:hint="default"/>
      </w:rPr>
      <w:start w:val="1"/>
      <w:suff w:val="tab"/>
    </w:lvl>
  </w:abstractNum>
  <w:abstractNum w:abstractNumId="1">
    <w:lvl w:ilvl="0">
      <w:isLgl w:val="false"/>
      <w:lvlJc w:val="left"/>
      <w:lvlText w:val="%1"/>
      <w:numFmt w:val="decimal"/>
      <w:pPr>
        <w:pBdr/>
        <w:tabs>
          <w:tab w:val="num" w:leader="none" w:pos="0"/>
        </w:tabs>
        <w:spacing/>
        <w:ind w:hanging="360" w:left="360"/>
      </w:pPr>
      <w:rPr>
        <w:rFonts w:eastAsia="WenQuanYi Micro Hei"/>
        <w:b w:val="0"/>
        <w:bCs/>
        <w:i w:val="0"/>
        <w:iCs w:val="0"/>
        <w:color w:val="auto"/>
      </w:rPr>
      <w:start w:val="1"/>
      <w:suff w:val="tab"/>
    </w:lvl>
    <w:lvl w:ilvl="1">
      <w:isLgl w:val="false"/>
      <w:lvlJc w:val="left"/>
      <w:lvlText w:val="%1.%2"/>
      <w:numFmt w:val="decimal"/>
      <w:pPr>
        <w:pBdr/>
        <w:tabs>
          <w:tab w:val="num" w:leader="none" w:pos="0"/>
        </w:tabs>
        <w:spacing/>
        <w:ind w:hanging="360" w:left="1145"/>
      </w:pPr>
      <w:rPr>
        <w:rFonts w:ascii="Arial" w:hAnsi="Arial" w:eastAsia="WenQuanYi Micro Hei" w:cs="Arial"/>
        <w:b w:val="0"/>
        <w:bCs/>
        <w:i w:val="0"/>
        <w:iCs w:val="0"/>
        <w:color w:val="auto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tabs>
          <w:tab w:val="num" w:leader="none" w:pos="0"/>
        </w:tabs>
        <w:spacing/>
        <w:ind w:hanging="720" w:left="2290"/>
      </w:pPr>
      <w:rPr>
        <w:rFonts w:hint="default" w:ascii="Arial" w:hAnsi="Arial" w:eastAsia="WenQuanYi Micro Hei" w:cs="Arial"/>
        <w:b w:val="0"/>
        <w:bCs/>
        <w:i w:val="0"/>
        <w:strike w:val="0"/>
        <w:color w:val="000000"/>
        <w:sz w:val="20"/>
        <w:szCs w:val="20"/>
        <w:u w:val="none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tabs>
          <w:tab w:val="num" w:leader="none" w:pos="0"/>
        </w:tabs>
        <w:spacing/>
        <w:ind w:hanging="720" w:left="3075"/>
      </w:pPr>
      <w:rPr>
        <w:rFonts w:eastAsia="WenQuanYi Micro Hei"/>
        <w:b w:val="0"/>
        <w:i w:val="0"/>
        <w:color w:val="000000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tabs>
          <w:tab w:val="num" w:leader="none" w:pos="0"/>
        </w:tabs>
        <w:spacing/>
        <w:ind w:hanging="1080" w:left="4220"/>
      </w:pPr>
      <w:rPr>
        <w:rFonts w:eastAsia="WenQuanYi Micro Hei"/>
        <w:b w:val="0"/>
        <w:i w:val="0"/>
        <w:color w:val="000000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tabs>
          <w:tab w:val="num" w:leader="none" w:pos="0"/>
        </w:tabs>
        <w:spacing/>
        <w:ind w:hanging="1080" w:left="5005"/>
      </w:pPr>
      <w:rPr>
        <w:rFonts w:eastAsia="WenQuanYi Micro Hei"/>
        <w:b/>
        <w:i w:val="0"/>
        <w:color w:val="000000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tabs>
          <w:tab w:val="num" w:leader="none" w:pos="0"/>
        </w:tabs>
        <w:spacing/>
        <w:ind w:hanging="1440" w:left="6150"/>
      </w:pPr>
      <w:rPr>
        <w:rFonts w:eastAsia="WenQuanYi Micro Hei"/>
        <w:b/>
        <w:i w:val="0"/>
        <w:color w:val="000000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tabs>
          <w:tab w:val="num" w:leader="none" w:pos="0"/>
        </w:tabs>
        <w:spacing/>
        <w:ind w:hanging="1440" w:left="6935"/>
      </w:pPr>
      <w:rPr>
        <w:rFonts w:eastAsia="WenQuanYi Micro Hei"/>
        <w:b/>
        <w:i w:val="0"/>
        <w:color w:val="000000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tabs>
          <w:tab w:val="num" w:leader="none" w:pos="0"/>
        </w:tabs>
        <w:spacing/>
        <w:ind w:hanging="1800" w:left="8080"/>
      </w:pPr>
      <w:rPr>
        <w:rFonts w:eastAsia="WenQuanYi Micro Hei"/>
        <w:b/>
        <w:i w:val="0"/>
        <w:color w:val="000000"/>
      </w:rPr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spacing/>
        <w:ind w:hanging="360" w:left="360"/>
      </w:pPr>
      <w:rPr>
        <w:rFonts w:hint="default"/>
        <w:b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432" w:left="858"/>
      </w:pPr>
      <w:rPr>
        <w:rFonts w:hint="default"/>
        <w:b w:val="0"/>
        <w:i w:val="0"/>
        <w:iCs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504" w:left="1224"/>
      </w:pPr>
      <w:rPr>
        <w:rFonts w:hint="default" w:ascii="Arial" w:hAnsi="Arial" w:cs="Arial"/>
        <w:b w:val="0"/>
        <w:i w:val="0"/>
        <w:iCs/>
        <w:color w:val="auto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>
        <w:rFonts w:hint="default"/>
      </w:rPr>
      <w:start w:val="1"/>
      <w:suff w:val="tab"/>
    </w:lvl>
  </w:abstractNum>
  <w:abstractNum w:abstractNumId="3">
    <w:lvl w:ilvl="0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1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2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3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4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5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6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7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</w:abstractNum>
  <w:abstractNum w:abstractNumId="4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360"/>
      </w:pPr>
      <w:pStyle w:val="996"/>
      <w:rPr>
        <w:b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-142"/>
        </w:tabs>
        <w:spacing/>
        <w:ind w:hanging="432" w:left="716"/>
      </w:pPr>
      <w:rPr>
        <w:b w:val="0"/>
        <w:i w:val="0"/>
        <w:iCs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504" w:left="1224"/>
      </w:pPr>
      <w:pStyle w:val="1059"/>
      <w:rPr>
        <w:rFonts w:hint="default" w:ascii="Times New Roman" w:hAnsi="Times New Roman" w:cs="Times New Roman"/>
        <w:b w:val="0"/>
        <w:i w:val="0"/>
        <w:iCs/>
        <w:color w:val="auto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648" w:left="1728"/>
      </w:pPr>
      <w:pStyle w:val="1060"/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</w:abstractNum>
  <w:abstractNum w:abstractNumId="5">
    <w:lvl w:ilvl="0">
      <w:isLgl w:val="false"/>
      <w:lvlJc w:val="left"/>
      <w:lvlText w:val="%1)"/>
      <w:numFmt w:val="decimal"/>
      <w:pPr>
        <w:pBdr/>
        <w:tabs>
          <w:tab w:val="num" w:leader="none" w:pos="0"/>
        </w:tabs>
        <w:spacing/>
        <w:ind w:hanging="360" w:left="720"/>
      </w:pPr>
      <w:rPr>
        <w:b/>
        <w:bCs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80"/>
      </w:pPr>
      <w:rPr/>
      <w:start w:val="1"/>
      <w:suff w:val="tab"/>
    </w:lvl>
  </w:abstractNum>
  <w:abstractNum w:abstractNumId="6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360"/>
      </w:pPr>
      <w:rPr>
        <w:b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32" w:left="792"/>
      </w:pPr>
      <w:rPr>
        <w:b w:val="0"/>
        <w:i w:val="0"/>
        <w:iCs/>
      </w:rPr>
      <w:start w:val="1"/>
      <w:suff w:val="tab"/>
    </w:lvl>
    <w:lvl w:ilvl="2">
      <w:isLgl w:val="false"/>
      <w:lvlJc w:val="left"/>
      <w:lvlText w:val="%3)"/>
      <w:numFmt w:val="lowerLetter"/>
      <w:pPr>
        <w:pBdr/>
        <w:tabs>
          <w:tab w:val="num" w:leader="none" w:pos="0"/>
        </w:tabs>
        <w:spacing/>
        <w:ind w:hanging="504" w:left="1224"/>
      </w:pPr>
      <w:rPr>
        <w:b w:val="0"/>
        <w:i w:val="0"/>
        <w:iCs/>
        <w:color w:val="auto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</w:abstractNum>
  <w:abstractNum w:abstractNumId="7">
    <w:lvl w:ilvl="0">
      <w:isLgl w:val="false"/>
      <w:lvlJc w:val="left"/>
      <w:lvlText w:val="%1."/>
      <w:numFmt w:val="decimal"/>
      <w:pPr>
        <w:pBdr/>
        <w:spacing/>
        <w:ind w:hanging="360" w:left="18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5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33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40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7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54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61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9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625"/>
      </w:pPr>
      <w:rPr/>
      <w:start w:val="1"/>
      <w:suff w:val="tab"/>
    </w:lvl>
  </w:abstractNum>
  <w:abstractNum w:abstractNumId="8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360"/>
      </w:pPr>
      <w:rPr>
        <w:b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32" w:left="792"/>
      </w:pPr>
      <w:rPr>
        <w:b w:val="0"/>
        <w:i w:val="0"/>
        <w:iCs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504" w:left="1224"/>
      </w:pPr>
      <w:rPr>
        <w:rFonts w:ascii="Arial" w:hAnsi="Arial" w:cs="Arial"/>
        <w:b w:val="0"/>
        <w:i w:val="0"/>
        <w:iCs/>
        <w:color w:val="auto"/>
      </w:rPr>
      <w:start w:val="1"/>
      <w:suff w:val="tab"/>
    </w:lvl>
    <w:lvl w:ilvl="3">
      <w:isLgl w:val="false"/>
      <w:lvlJc w:val="left"/>
      <w:lvlText w:val="%4)"/>
      <w:numFmt w:val="lowerLetter"/>
      <w:pPr>
        <w:pBdr/>
        <w:tabs>
          <w:tab w:val="num" w:leader="none" w:pos="0"/>
        </w:tabs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</w:abstractNum>
  <w:abstractNum w:abstractNumId="9">
    <w:lvl w:ilvl="0">
      <w:isLgl w:val="false"/>
      <w:lvlJc w:val="left"/>
      <w:lvlText w:val="%1"/>
      <w:numFmt w:val="decimal"/>
      <w:pPr>
        <w:pBdr/>
        <w:tabs>
          <w:tab w:val="num" w:leader="none" w:pos="0"/>
        </w:tabs>
        <w:spacing/>
        <w:ind w:hanging="435" w:left="435"/>
      </w:pPr>
      <w:rPr/>
      <w:start w:val="4"/>
      <w:suff w:val="tab"/>
    </w:lvl>
    <w:lvl w:ilvl="1">
      <w:isLgl w:val="false"/>
      <w:lvlJc w:val="left"/>
      <w:lvlText w:val="%1.%2"/>
      <w:numFmt w:val="decimal"/>
      <w:pPr>
        <w:pBdr/>
        <w:tabs>
          <w:tab w:val="num" w:leader="none" w:pos="0"/>
        </w:tabs>
        <w:spacing/>
        <w:ind w:hanging="435" w:left="1002"/>
      </w:pPr>
      <w:rPr/>
      <w:start w:val="4"/>
      <w:suff w:val="tab"/>
    </w:lvl>
    <w:lvl w:ilvl="2">
      <w:isLgl w:val="false"/>
      <w:lvlJc w:val="left"/>
      <w:lvlText w:val="%1.%2.%3"/>
      <w:numFmt w:val="decimal"/>
      <w:pPr>
        <w:pBdr/>
        <w:tabs>
          <w:tab w:val="num" w:leader="none" w:pos="0"/>
        </w:tabs>
        <w:spacing/>
        <w:ind w:hanging="720" w:left="1854"/>
      </w:pPr>
      <w:rPr/>
      <w:start w:val="1"/>
      <w:suff w:val="tab"/>
    </w:lvl>
    <w:lvl w:ilvl="3">
      <w:isLgl w:val="false"/>
      <w:lvlJc w:val="left"/>
      <w:lvlText w:val="%1.%2.%3.%4"/>
      <w:numFmt w:val="decimal"/>
      <w:pPr>
        <w:pBdr/>
        <w:tabs>
          <w:tab w:val="num" w:leader="none" w:pos="0"/>
        </w:tabs>
        <w:spacing/>
        <w:ind w:hanging="720" w:left="2421"/>
      </w:pPr>
      <w:rPr/>
      <w:start w:val="1"/>
      <w:suff w:val="tab"/>
    </w:lvl>
    <w:lvl w:ilvl="4">
      <w:isLgl w:val="false"/>
      <w:lvlJc w:val="left"/>
      <w:lvlText w:val="%1.%2.%3.%4.%5"/>
      <w:numFmt w:val="decimal"/>
      <w:pPr>
        <w:pBdr/>
        <w:tabs>
          <w:tab w:val="num" w:leader="none" w:pos="0"/>
        </w:tabs>
        <w:spacing/>
        <w:ind w:hanging="1080" w:left="3348"/>
      </w:pPr>
      <w:rPr/>
      <w:start w:val="1"/>
      <w:suff w:val="tab"/>
    </w:lvl>
    <w:lvl w:ilvl="5">
      <w:isLgl w:val="false"/>
      <w:lvlJc w:val="left"/>
      <w:lvlText w:val="%1.%2.%3.%4.%5.%6"/>
      <w:numFmt w:val="decimal"/>
      <w:pPr>
        <w:pBdr/>
        <w:tabs>
          <w:tab w:val="num" w:leader="none" w:pos="0"/>
        </w:tabs>
        <w:spacing/>
        <w:ind w:hanging="1080" w:left="3915"/>
      </w:pPr>
      <w:rPr/>
      <w:start w:val="1"/>
      <w:suff w:val="tab"/>
    </w:lvl>
    <w:lvl w:ilvl="6">
      <w:isLgl w:val="false"/>
      <w:lvlJc w:val="left"/>
      <w:lvlText w:val="%1.%2.%3.%4.%5.%6.%7"/>
      <w:numFmt w:val="decimal"/>
      <w:pPr>
        <w:pBdr/>
        <w:tabs>
          <w:tab w:val="num" w:leader="none" w:pos="0"/>
        </w:tabs>
        <w:spacing/>
        <w:ind w:hanging="1440" w:left="4842"/>
      </w:pPr>
      <w:rPr/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tabs>
          <w:tab w:val="num" w:leader="none" w:pos="0"/>
        </w:tabs>
        <w:spacing/>
        <w:ind w:hanging="1440" w:left="5409"/>
      </w:pPr>
      <w:rPr/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tabs>
          <w:tab w:val="num" w:leader="none" w:pos="0"/>
        </w:tabs>
        <w:spacing/>
        <w:ind w:hanging="1800" w:left="6336"/>
      </w:pPr>
      <w:rPr/>
      <w:start w:val="1"/>
      <w:suff w:val="tab"/>
    </w:lvl>
  </w:abstractNum>
  <w:abstractNum w:abstractNumId="10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502"/>
      </w:pPr>
      <w:pStyle w:val="1034"/>
      <w:rPr>
        <w:b/>
        <w:i w:val="0"/>
        <w:strike w:val="0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32" w:left="858"/>
      </w:pPr>
      <w:rPr>
        <w:b w:val="0"/>
        <w:strike w:val="0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504" w:left="1224"/>
      </w:pPr>
      <w:rPr>
        <w:i w:val="0"/>
        <w:strike w:val="0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792" w:left="4053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</w:abstractNum>
  <w:abstractNum w:abstractNumId="11">
    <w:lvl w:ilvl="0">
      <w:isLgl w:val="false"/>
      <w:lvlJc w:val="left"/>
      <w:lvlText w:val="%1"/>
      <w:numFmt w:val="decimal"/>
      <w:pPr>
        <w:pBdr/>
        <w:spacing/>
        <w:ind w:hanging="435" w:left="435"/>
      </w:pPr>
      <w:rPr>
        <w:rFonts w:hint="default"/>
      </w:rPr>
      <w:start w:val="4"/>
      <w:suff w:val="tab"/>
    </w:lvl>
    <w:lvl w:ilvl="1">
      <w:isLgl w:val="false"/>
      <w:lvlJc w:val="left"/>
      <w:lvlText w:val="%1.%2"/>
      <w:numFmt w:val="decimal"/>
      <w:pPr>
        <w:pBdr/>
        <w:spacing/>
        <w:ind w:hanging="435" w:left="1002"/>
      </w:pPr>
      <w:rPr>
        <w:rFonts w:hint="default"/>
      </w:rPr>
      <w:start w:val="4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1854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2421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3348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3915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4842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5409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6336"/>
      </w:pPr>
      <w:rPr>
        <w:rFonts w:hint="default"/>
      </w:rPr>
      <w:start w:val="1"/>
      <w:suff w:val="tab"/>
    </w:lvl>
  </w:abstractNum>
  <w:abstractNum w:abstractNumId="12">
    <w:lvl w:ilvl="0">
      <w:isLgl w:val="false"/>
      <w:lvlJc w:val="left"/>
      <w:lvlText w:val="%1"/>
      <w:numFmt w:val="decimal"/>
      <w:pPr>
        <w:pBdr/>
        <w:spacing/>
        <w:ind w:hanging="450" w:left="450"/>
      </w:pPr>
      <w:rPr>
        <w:rFonts w:hint="default"/>
      </w:rPr>
      <w:start w:val="9"/>
      <w:suff w:val="tab"/>
    </w:lvl>
    <w:lvl w:ilvl="1">
      <w:isLgl w:val="false"/>
      <w:lvlJc w:val="left"/>
      <w:lvlText w:val="%1.%2"/>
      <w:numFmt w:val="decimal"/>
      <w:pPr>
        <w:pBdr/>
        <w:spacing/>
        <w:ind w:hanging="450" w:left="662"/>
      </w:pPr>
      <w:rPr>
        <w:rFonts w:hint="default"/>
      </w:rPr>
      <w:start w:val="5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1144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1356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928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214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2712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292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3496"/>
      </w:pPr>
      <w:rPr>
        <w:rFonts w:hint="default"/>
      </w:rPr>
      <w:start w:val="1"/>
      <w:suff w:val="tab"/>
    </w:lvl>
  </w:abstractNum>
  <w:abstractNum w:abstractNumId="13"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  <w:color w:val="000000"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color w:val="000000"/>
      </w:rPr>
      <w:start w:val="8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  <w:color w:val="000000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  <w:color w:val="000000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  <w:color w:val="000000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  <w:color w:val="000000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  <w:color w:val="000000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  <w:color w:val="000000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1800"/>
      </w:pPr>
      <w:rPr>
        <w:rFonts w:hint="default"/>
        <w:color w:val="000000"/>
      </w:rPr>
      <w:start w:val="1"/>
      <w:suff w:val="tab"/>
    </w:lvl>
  </w:abstractNum>
  <w:abstractNum w:abstractNumId="14">
    <w:lvl w:ilvl="0">
      <w:isLgl w:val="false"/>
      <w:lvlJc w:val="left"/>
      <w:lvlText w:val="%1."/>
      <w:numFmt w:val="decimal"/>
      <w:pPr>
        <w:pBdr/>
        <w:spacing/>
        <w:ind w:hanging="495" w:left="495"/>
      </w:pPr>
      <w:rPr>
        <w:rFonts w:hint="default" w:cs="Tahoma"/>
        <w:color w:val="auto"/>
      </w:rPr>
      <w:start w:val="3"/>
      <w:suff w:val="tab"/>
    </w:lvl>
    <w:lvl w:ilvl="1">
      <w:isLgl w:val="false"/>
      <w:lvlJc w:val="left"/>
      <w:lvlText w:val="%1.%2."/>
      <w:numFmt w:val="decimal"/>
      <w:pPr>
        <w:pBdr/>
        <w:spacing/>
        <w:ind w:hanging="495" w:left="495"/>
      </w:pPr>
      <w:rPr>
        <w:rFonts w:hint="default" w:cs="Tahoma"/>
        <w:color w:val="auto"/>
      </w:rPr>
      <w:start w:val="8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720"/>
      </w:pPr>
      <w:rPr>
        <w:rFonts w:hint="default" w:cs="Tahoma"/>
        <w:color w:val="auto"/>
      </w:rPr>
      <w:start w:val="4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720" w:left="720"/>
      </w:pPr>
      <w:rPr>
        <w:rFonts w:hint="default" w:cs="Tahoma"/>
        <w:color w:val="auto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1080"/>
      </w:pPr>
      <w:rPr>
        <w:rFonts w:hint="default" w:cs="Tahoma"/>
        <w:color w:val="auto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080" w:left="1080"/>
      </w:pPr>
      <w:rPr>
        <w:rFonts w:hint="default" w:cs="Tahoma"/>
        <w:color w:val="auto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440" w:left="1440"/>
      </w:pPr>
      <w:rPr>
        <w:rFonts w:hint="default" w:cs="Tahoma"/>
        <w:color w:val="auto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440" w:left="1440"/>
      </w:pPr>
      <w:rPr>
        <w:rFonts w:hint="default" w:cs="Tahoma"/>
        <w:color w:val="auto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800" w:left="1800"/>
      </w:pPr>
      <w:rPr>
        <w:rFonts w:hint="default" w:cs="Tahoma"/>
        <w:color w:val="auto"/>
      </w:rPr>
      <w:start w:val="1"/>
      <w:suff w:val="tab"/>
    </w:lvl>
  </w:abstractNum>
  <w:abstractNum w:abstractNumId="15">
    <w:lvl w:ilvl="0">
      <w:isLgl w:val="false"/>
      <w:lvlJc w:val="left"/>
      <w:lvlText w:val="%1"/>
      <w:numFmt w:val="decimal"/>
      <w:pPr>
        <w:pBdr/>
        <w:spacing/>
        <w:ind w:hanging="450" w:left="450"/>
      </w:pPr>
      <w:rPr>
        <w:rFonts w:hint="default"/>
      </w:rPr>
      <w:start w:val="9"/>
      <w:suff w:val="tab"/>
    </w:lvl>
    <w:lvl w:ilvl="1">
      <w:isLgl w:val="false"/>
      <w:lvlJc w:val="left"/>
      <w:lvlText w:val="%1.%2"/>
      <w:numFmt w:val="decimal"/>
      <w:pPr>
        <w:pBdr/>
        <w:spacing/>
        <w:ind w:hanging="450" w:left="662"/>
      </w:pPr>
      <w:rPr>
        <w:rFonts w:hint="default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1144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1356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928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214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2712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292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3496"/>
      </w:pPr>
      <w:rPr>
        <w:rFonts w:hint="default"/>
      </w:rPr>
      <w:start w:val="1"/>
      <w:suff w:val="tab"/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8"/>
  </w:num>
  <w:num w:numId="5">
    <w:abstractNumId w:val="6"/>
  </w:num>
  <w:num w:numId="6">
    <w:abstractNumId w:val="1"/>
  </w:num>
  <w:num w:numId="7">
    <w:abstractNumId w:val="5"/>
  </w:num>
  <w:num w:numId="8">
    <w:abstractNumId w:val="3"/>
  </w:num>
  <w:num w:numId="9">
    <w:abstractNumId w:val="7"/>
  </w:num>
  <w:num w:numId="10">
    <w:abstractNumId w:val="2"/>
  </w:num>
  <w:num w:numId="11">
    <w:abstractNumId w:val="11"/>
  </w:num>
  <w:num w:numId="12">
    <w:abstractNumId w:val="13"/>
  </w:num>
  <w:num w:numId="13">
    <w:abstractNumId w:val="0"/>
  </w:num>
  <w:num w:numId="14">
    <w:abstractNumId w:val="14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17">
    <w:abstractNumId w:val="15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30">
    <w:name w:val="Heading 1 Char"/>
    <w:basedOn w:val="997"/>
    <w:link w:val="996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831">
    <w:name w:val="Heading 2"/>
    <w:basedOn w:val="995"/>
    <w:next w:val="995"/>
    <w:link w:val="832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832">
    <w:name w:val="Heading 2 Char"/>
    <w:basedOn w:val="997"/>
    <w:link w:val="831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833">
    <w:name w:val="Heading 3"/>
    <w:basedOn w:val="995"/>
    <w:next w:val="995"/>
    <w:link w:val="834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834">
    <w:name w:val="Heading 3 Char"/>
    <w:basedOn w:val="997"/>
    <w:link w:val="833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835">
    <w:name w:val="Heading 4"/>
    <w:basedOn w:val="995"/>
    <w:next w:val="995"/>
    <w:link w:val="836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36">
    <w:name w:val="Heading 4 Char"/>
    <w:basedOn w:val="997"/>
    <w:link w:val="835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837">
    <w:name w:val="Heading 5"/>
    <w:basedOn w:val="995"/>
    <w:next w:val="995"/>
    <w:link w:val="838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38">
    <w:name w:val="Heading 5 Char"/>
    <w:basedOn w:val="997"/>
    <w:link w:val="837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839">
    <w:name w:val="Heading 6"/>
    <w:basedOn w:val="995"/>
    <w:next w:val="995"/>
    <w:link w:val="840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40">
    <w:name w:val="Heading 6 Char"/>
    <w:basedOn w:val="997"/>
    <w:link w:val="839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841">
    <w:name w:val="Heading 7"/>
    <w:basedOn w:val="995"/>
    <w:next w:val="995"/>
    <w:link w:val="842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42">
    <w:name w:val="Heading 7 Char"/>
    <w:basedOn w:val="997"/>
    <w:link w:val="841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43">
    <w:name w:val="Heading 8"/>
    <w:basedOn w:val="995"/>
    <w:next w:val="995"/>
    <w:link w:val="844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44">
    <w:name w:val="Heading 8 Char"/>
    <w:basedOn w:val="997"/>
    <w:link w:val="843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845">
    <w:name w:val="Heading 9"/>
    <w:basedOn w:val="995"/>
    <w:next w:val="995"/>
    <w:link w:val="846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46">
    <w:name w:val="Heading 9 Char"/>
    <w:basedOn w:val="997"/>
    <w:link w:val="845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847">
    <w:name w:val="No Spacing"/>
    <w:uiPriority w:val="1"/>
    <w:qFormat/>
    <w:pPr>
      <w:pBdr/>
      <w:spacing w:after="0" w:before="0" w:line="240" w:lineRule="auto"/>
      <w:ind/>
    </w:pPr>
  </w:style>
  <w:style w:type="character" w:styleId="848">
    <w:name w:val="Title Char"/>
    <w:basedOn w:val="997"/>
    <w:link w:val="1015"/>
    <w:uiPriority w:val="10"/>
    <w:pPr>
      <w:pBdr/>
      <w:spacing/>
      <w:ind/>
    </w:pPr>
    <w:rPr>
      <w:sz w:val="48"/>
      <w:szCs w:val="48"/>
    </w:rPr>
  </w:style>
  <w:style w:type="character" w:styleId="849">
    <w:name w:val="Subtitle Char"/>
    <w:basedOn w:val="997"/>
    <w:link w:val="1064"/>
    <w:uiPriority w:val="11"/>
    <w:pPr>
      <w:pBdr/>
      <w:spacing/>
      <w:ind/>
    </w:pPr>
    <w:rPr>
      <w:sz w:val="24"/>
      <w:szCs w:val="24"/>
    </w:rPr>
  </w:style>
  <w:style w:type="paragraph" w:styleId="850">
    <w:name w:val="Intense Quote"/>
    <w:basedOn w:val="995"/>
    <w:next w:val="995"/>
    <w:link w:val="85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851">
    <w:name w:val="Intense Quote Char"/>
    <w:link w:val="850"/>
    <w:uiPriority w:val="30"/>
    <w:pPr>
      <w:pBdr/>
      <w:spacing/>
      <w:ind/>
    </w:pPr>
    <w:rPr>
      <w:i/>
    </w:rPr>
  </w:style>
  <w:style w:type="character" w:styleId="852">
    <w:name w:val="Header Char"/>
    <w:basedOn w:val="997"/>
    <w:link w:val="1042"/>
    <w:uiPriority w:val="99"/>
    <w:pPr>
      <w:pBdr/>
      <w:spacing/>
      <w:ind/>
    </w:pPr>
  </w:style>
  <w:style w:type="character" w:styleId="853">
    <w:name w:val="Footer Char"/>
    <w:basedOn w:val="997"/>
    <w:link w:val="1044"/>
    <w:uiPriority w:val="99"/>
    <w:pPr>
      <w:pBdr/>
      <w:spacing/>
      <w:ind/>
    </w:pPr>
  </w:style>
  <w:style w:type="character" w:styleId="854">
    <w:name w:val="Caption Char"/>
    <w:basedOn w:val="1020"/>
    <w:link w:val="1044"/>
    <w:uiPriority w:val="99"/>
    <w:pPr>
      <w:pBdr/>
      <w:spacing/>
      <w:ind/>
    </w:pPr>
  </w:style>
  <w:style w:type="table" w:styleId="855">
    <w:name w:val="Table Grid Light"/>
    <w:basedOn w:val="998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Plain Table 1"/>
    <w:basedOn w:val="998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Plain Table 2"/>
    <w:basedOn w:val="998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Plain Table 3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Plain Table 4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Plain Table 5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Grid Table 1 Light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Grid Table 1 Light - Accent 1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Grid Table 1 Light - Accent 2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Grid Table 1 Light - Accent 3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Grid Table 1 Light - Accent 4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Grid Table 1 Light - Accent 5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Grid Table 1 Light - Accent 6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Grid Table 2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Grid Table 2 - Accent 1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Grid Table 2 - Accent 2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Grid Table 2 - Accent 3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Grid Table 2 - Accent 4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Grid Table 2 - Accent 5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Grid Table 2 - Accent 6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Grid Table 3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Grid Table 3 - Accent 1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Grid Table 3 - Accent 2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Grid Table 3 - Accent 3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3 - Accent 4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Grid Table 3 - Accent 5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Grid Table 3 - Accent 6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Grid Table 4"/>
    <w:basedOn w:val="99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Grid Table 4 - Accent 1"/>
    <w:basedOn w:val="99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Grid Table 4 - Accent 2"/>
    <w:basedOn w:val="99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Grid Table 4 - Accent 3"/>
    <w:basedOn w:val="99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Grid Table 4 - Accent 4"/>
    <w:basedOn w:val="99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Grid Table 4 - Accent 5"/>
    <w:basedOn w:val="99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Grid Table 4 - Accent 6"/>
    <w:basedOn w:val="99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Grid Table 5 Dark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Grid Table 5 Dark- Accent 1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Grid Table 5 Dark - Accent 2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Grid Table 5 Dark - Accent 3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Grid Table 5 Dark- Accent 4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Grid Table 5 Dark - Accent 5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Grid Table 5 Dark - Accent 6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Grid Table 6 Colorful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Grid Table 6 Colorful - Accent 1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Grid Table 6 Colorful - Accent 2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Grid Table 6 Colorful - Accent 3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Grid Table 6 Colorful - Accent 4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Grid Table 6 Colorful - Accent 5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Grid Table 6 Colorful - Accent 6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Grid Table 7 Colorful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Grid Table 7 Colorful - Accent 1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7 Colorful - Accent 2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7 Colorful - Accent 3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7 Colorful - Accent 4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7 Colorful - Accent 5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7 Colorful - Accent 6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List Table 1 Light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List Table 1 Light - Accent 1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List Table 1 Light - Accent 2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List Table 1 Light - Accent 3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List Table 1 Light - Accent 4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List Table 1 Light - Accent 5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List Table 1 Light - Accent 6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List Table 2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List Table 2 - Accent 1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List Table 2 - Accent 2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List Table 2 - Accent 3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List Table 2 - Accent 4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List Table 2 - Accent 5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List Table 2 - Accent 6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List Table 3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List Table 3 - Accent 1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List Table 3 - Accent 2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List Table 3 - Accent 3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List Table 3 - Accent 4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List Table 3 - Accent 5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List Table 3 - Accent 6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List Table 4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List Table 4 - Accent 1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List Table 4 - Accent 2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List Table 4 - Accent 3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st Table 4 - Accent 4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st Table 4 - Accent 5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st Table 4 - Accent 6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st Table 5 Dark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st Table 5 Dark - Accent 1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st Table 5 Dark - Accent 2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st Table 5 Dark - Accent 3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5 Dark - Accent 4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st Table 5 Dark - Accent 5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st Table 5 Dark - Accent 6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st Table 6 Colorful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st Table 6 Colorful - Accent 1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st Table 6 Colorful - Accent 2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st Table 6 Colorful - Accent 3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st Table 6 Colorful - Accent 4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st Table 6 Colorful - Accent 5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st Table 6 Colorful - Accent 6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st Table 7 Colorful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st Table 7 Colorful - Accent 1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7 Colorful - Accent 2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7 Colorful - Accent 3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7 Colorful - Accent 4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7 Colorful - Accent 5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7 Colorful - Accent 6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ned - Accent"/>
    <w:basedOn w:val="9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ned - Accent 1"/>
    <w:basedOn w:val="9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ned - Accent 2"/>
    <w:basedOn w:val="9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ned - Accent 3"/>
    <w:basedOn w:val="9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ned - Accent 4"/>
    <w:basedOn w:val="9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ned - Accent 5"/>
    <w:basedOn w:val="9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ned - Accent 6"/>
    <w:basedOn w:val="9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Bordered &amp; Lined - Accent"/>
    <w:basedOn w:val="9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Bordered &amp; Lined - Accent 1"/>
    <w:basedOn w:val="9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Bordered &amp; Lined - Accent 2"/>
    <w:basedOn w:val="9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Bordered &amp; Lined - Accent 3"/>
    <w:basedOn w:val="9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Bordered &amp; Lined - Accent 4"/>
    <w:basedOn w:val="9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Bordered &amp; Lined - Accent 5"/>
    <w:basedOn w:val="9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Bordered &amp; Lined - Accent 6"/>
    <w:basedOn w:val="9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Bordered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Bordered - Accent 1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Bordered - Accent 2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Bordered - Accent 3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Bordered - Accent 4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Bordered - Accent 5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Bordered - Accent 6"/>
    <w:basedOn w:val="9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80">
    <w:name w:val="footnote text"/>
    <w:basedOn w:val="995"/>
    <w:link w:val="981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981">
    <w:name w:val="Footnote Text Char"/>
    <w:link w:val="980"/>
    <w:uiPriority w:val="99"/>
    <w:pPr>
      <w:pBdr/>
      <w:spacing/>
      <w:ind/>
    </w:pPr>
    <w:rPr>
      <w:sz w:val="18"/>
    </w:rPr>
  </w:style>
  <w:style w:type="character" w:styleId="982">
    <w:name w:val="footnote reference"/>
    <w:basedOn w:val="997"/>
    <w:uiPriority w:val="99"/>
    <w:unhideWhenUsed/>
    <w:pPr>
      <w:pBdr/>
      <w:spacing/>
      <w:ind/>
    </w:pPr>
    <w:rPr>
      <w:vertAlign w:val="superscript"/>
    </w:rPr>
  </w:style>
  <w:style w:type="paragraph" w:styleId="983">
    <w:name w:val="endnote text"/>
    <w:basedOn w:val="995"/>
    <w:link w:val="984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984">
    <w:name w:val="Endnote Text Char"/>
    <w:link w:val="983"/>
    <w:uiPriority w:val="99"/>
    <w:pPr>
      <w:pBdr/>
      <w:spacing/>
      <w:ind/>
    </w:pPr>
    <w:rPr>
      <w:sz w:val="20"/>
    </w:rPr>
  </w:style>
  <w:style w:type="character" w:styleId="985">
    <w:name w:val="endnote reference"/>
    <w:basedOn w:val="997"/>
    <w:uiPriority w:val="99"/>
    <w:semiHidden/>
    <w:unhideWhenUsed/>
    <w:pPr>
      <w:pBdr/>
      <w:spacing/>
      <w:ind/>
    </w:pPr>
    <w:rPr>
      <w:vertAlign w:val="superscript"/>
    </w:rPr>
  </w:style>
  <w:style w:type="paragraph" w:styleId="986">
    <w:name w:val="toc 2"/>
    <w:basedOn w:val="995"/>
    <w:next w:val="995"/>
    <w:uiPriority w:val="39"/>
    <w:unhideWhenUsed/>
    <w:pPr>
      <w:pBdr/>
      <w:spacing w:after="57"/>
      <w:ind w:right="0" w:firstLine="0" w:left="283"/>
    </w:pPr>
  </w:style>
  <w:style w:type="paragraph" w:styleId="987">
    <w:name w:val="toc 3"/>
    <w:basedOn w:val="995"/>
    <w:next w:val="995"/>
    <w:uiPriority w:val="39"/>
    <w:unhideWhenUsed/>
    <w:pPr>
      <w:pBdr/>
      <w:spacing w:after="57"/>
      <w:ind w:right="0" w:firstLine="0" w:left="567"/>
    </w:pPr>
  </w:style>
  <w:style w:type="paragraph" w:styleId="988">
    <w:name w:val="toc 4"/>
    <w:basedOn w:val="995"/>
    <w:next w:val="995"/>
    <w:uiPriority w:val="39"/>
    <w:unhideWhenUsed/>
    <w:pPr>
      <w:pBdr/>
      <w:spacing w:after="57"/>
      <w:ind w:right="0" w:firstLine="0" w:left="850"/>
    </w:pPr>
  </w:style>
  <w:style w:type="paragraph" w:styleId="989">
    <w:name w:val="toc 5"/>
    <w:basedOn w:val="995"/>
    <w:next w:val="995"/>
    <w:uiPriority w:val="39"/>
    <w:unhideWhenUsed/>
    <w:pPr>
      <w:pBdr/>
      <w:spacing w:after="57"/>
      <w:ind w:right="0" w:firstLine="0" w:left="1134"/>
    </w:pPr>
  </w:style>
  <w:style w:type="paragraph" w:styleId="990">
    <w:name w:val="toc 6"/>
    <w:basedOn w:val="995"/>
    <w:next w:val="995"/>
    <w:uiPriority w:val="39"/>
    <w:unhideWhenUsed/>
    <w:pPr>
      <w:pBdr/>
      <w:spacing w:after="57"/>
      <w:ind w:right="0" w:firstLine="0" w:left="1417"/>
    </w:pPr>
  </w:style>
  <w:style w:type="paragraph" w:styleId="991">
    <w:name w:val="toc 7"/>
    <w:basedOn w:val="995"/>
    <w:next w:val="995"/>
    <w:uiPriority w:val="39"/>
    <w:unhideWhenUsed/>
    <w:pPr>
      <w:pBdr/>
      <w:spacing w:after="57"/>
      <w:ind w:right="0" w:firstLine="0" w:left="1701"/>
    </w:pPr>
  </w:style>
  <w:style w:type="paragraph" w:styleId="992">
    <w:name w:val="toc 8"/>
    <w:basedOn w:val="995"/>
    <w:next w:val="995"/>
    <w:uiPriority w:val="39"/>
    <w:unhideWhenUsed/>
    <w:pPr>
      <w:pBdr/>
      <w:spacing w:after="57"/>
      <w:ind w:right="0" w:firstLine="0" w:left="1984"/>
    </w:pPr>
  </w:style>
  <w:style w:type="paragraph" w:styleId="993">
    <w:name w:val="toc 9"/>
    <w:basedOn w:val="995"/>
    <w:next w:val="995"/>
    <w:uiPriority w:val="39"/>
    <w:unhideWhenUsed/>
    <w:pPr>
      <w:pBdr/>
      <w:spacing w:after="57"/>
      <w:ind w:right="0" w:firstLine="0" w:left="2268"/>
    </w:pPr>
  </w:style>
  <w:style w:type="paragraph" w:styleId="994">
    <w:name w:val="table of figures"/>
    <w:basedOn w:val="995"/>
    <w:next w:val="995"/>
    <w:uiPriority w:val="99"/>
    <w:unhideWhenUsed/>
    <w:pPr>
      <w:pBdr/>
      <w:spacing w:after="0" w:afterAutospacing="0"/>
      <w:ind/>
    </w:pPr>
  </w:style>
  <w:style w:type="paragraph" w:styleId="995" w:default="1">
    <w:name w:val="Normal"/>
    <w:qFormat/>
    <w:pPr>
      <w:pBdr/>
      <w:spacing w:after="0" w:line="240" w:lineRule="auto"/>
      <w:ind/>
    </w:pPr>
    <w:rPr>
      <w:rFonts w:ascii="Arial" w:hAnsi="Arial" w:eastAsia="Times New Roman" w:cs="Tahoma"/>
      <w:sz w:val="20"/>
      <w:szCs w:val="24"/>
      <w:lang w:eastAsia="pt-BR"/>
    </w:rPr>
  </w:style>
  <w:style w:type="paragraph" w:styleId="996">
    <w:name w:val="Heading 1"/>
    <w:basedOn w:val="1025"/>
    <w:next w:val="995"/>
    <w:link w:val="1000"/>
    <w:uiPriority w:val="9"/>
    <w:qFormat/>
    <w:pPr>
      <w:keepNext w:val="false"/>
      <w:widowControl w:val="true"/>
      <w:numPr>
        <w:ilvl w:val="0"/>
        <w:numId w:val="1"/>
      </w:numPr>
      <w:pBdr/>
      <w:shd w:val="clear" w:color="auto" w:fill="auto"/>
      <w:spacing w:after="120" w:before="120"/>
      <w:ind/>
      <w:outlineLvl w:val="0"/>
    </w:pPr>
    <w:rPr>
      <w:rFonts w:ascii="Arial" w:hAnsi="Arial" w:cs="Arial"/>
      <w:b/>
    </w:rPr>
  </w:style>
  <w:style w:type="character" w:styleId="997" w:default="1">
    <w:name w:val="Default Paragraph Font"/>
    <w:uiPriority w:val="1"/>
    <w:semiHidden/>
    <w:unhideWhenUsed/>
    <w:pPr>
      <w:pBdr/>
      <w:spacing/>
      <w:ind/>
    </w:pPr>
  </w:style>
  <w:style w:type="table" w:styleId="998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99" w:default="1">
    <w:name w:val="No List"/>
    <w:uiPriority w:val="99"/>
    <w:semiHidden/>
    <w:unhideWhenUsed/>
    <w:pPr>
      <w:pBdr/>
      <w:spacing/>
      <w:ind/>
    </w:pPr>
  </w:style>
  <w:style w:type="character" w:styleId="1000" w:customStyle="1">
    <w:name w:val="Título 1 Char"/>
    <w:basedOn w:val="997"/>
    <w:link w:val="996"/>
    <w:uiPriority w:val="9"/>
    <w:qFormat/>
    <w:pPr>
      <w:pBdr/>
      <w:spacing/>
      <w:ind/>
    </w:pPr>
    <w:rPr>
      <w:rFonts w:ascii="Arial" w:hAnsi="Arial" w:eastAsia="WenQuanYi Micro Hei" w:cs="Arial"/>
      <w:b/>
      <w:sz w:val="20"/>
      <w:szCs w:val="24"/>
      <w:lang w:eastAsia="zh-CN" w:bidi="hi-IN"/>
    </w:rPr>
  </w:style>
  <w:style w:type="character" w:styleId="1001" w:customStyle="1">
    <w:name w:val="Citação Char"/>
    <w:basedOn w:val="997"/>
    <w:link w:val="1022"/>
    <w:qFormat/>
    <w:pPr>
      <w:pBdr/>
      <w:spacing/>
      <w:ind/>
    </w:pPr>
    <w:rPr>
      <w:rFonts w:ascii="Arial" w:hAnsi="Arial" w:eastAsia="Calibri" w:cs="Tahoma"/>
      <w:i/>
      <w:iCs/>
      <w:color w:val="000000"/>
      <w:sz w:val="20"/>
      <w:szCs w:val="24"/>
      <w:shd w:val="clear" w:color="auto" w:fill="ffffcc"/>
    </w:rPr>
  </w:style>
  <w:style w:type="character" w:styleId="1002" w:customStyle="1">
    <w:name w:val="Nivel 01 Char"/>
    <w:basedOn w:val="1000"/>
    <w:link w:val="1024"/>
    <w:qFormat/>
    <w:pPr>
      <w:pBdr/>
      <w:spacing/>
      <w:ind/>
    </w:pPr>
    <w:rPr>
      <w:rFonts w:ascii="Arial" w:hAnsi="Arial" w:cs="Times New Roman" w:eastAsiaTheme="majorEastAsia"/>
      <w:b w:val="0"/>
      <w:bCs/>
      <w:color w:val="000000"/>
      <w:sz w:val="20"/>
      <w:szCs w:val="20"/>
      <w:lang w:eastAsia="pt-BR" w:bidi="hi-IN"/>
    </w:rPr>
  </w:style>
  <w:style w:type="character" w:styleId="1003" w:customStyle="1">
    <w:name w:val="citação 2 Char"/>
    <w:basedOn w:val="1001"/>
    <w:qFormat/>
    <w:pPr>
      <w:pBdr/>
      <w:spacing/>
      <w:ind/>
    </w:pPr>
    <w:rPr>
      <w:rFonts w:ascii="Arial" w:hAnsi="Arial" w:eastAsia="Calibri" w:cs="Tahoma"/>
      <w:i/>
      <w:iCs/>
      <w:color w:val="000000"/>
      <w:sz w:val="20"/>
      <w:szCs w:val="20"/>
      <w:shd w:val="clear" w:color="auto" w:fill="ffffcc"/>
    </w:rPr>
  </w:style>
  <w:style w:type="character" w:styleId="1004" w:customStyle="1">
    <w:name w:val="Quote Char"/>
    <w:basedOn w:val="997"/>
    <w:link w:val="1028"/>
    <w:qFormat/>
    <w:pPr>
      <w:pBdr/>
      <w:spacing/>
      <w:ind/>
    </w:pPr>
    <w:rPr>
      <w:rFonts w:ascii="Ecofont_Spranq_eco_Sans" w:hAnsi="Ecofont_Spranq_eco_Sans" w:eastAsia="Calibri" w:cs="Tahoma"/>
      <w:i/>
      <w:iCs/>
      <w:color w:val="000000"/>
      <w:shd w:val="clear" w:color="auto" w:fill="ffffcc"/>
    </w:rPr>
  </w:style>
  <w:style w:type="character" w:styleId="1005">
    <w:name w:val="annotation reference"/>
    <w:basedOn w:val="997"/>
    <w:unhideWhenUsed/>
    <w:qFormat/>
    <w:pPr>
      <w:pBdr/>
      <w:spacing/>
      <w:ind/>
    </w:pPr>
    <w:rPr>
      <w:sz w:val="16"/>
      <w:szCs w:val="16"/>
    </w:rPr>
  </w:style>
  <w:style w:type="character" w:styleId="1006" w:customStyle="1">
    <w:name w:val="Texto de comentário Char"/>
    <w:basedOn w:val="997"/>
    <w:link w:val="1029"/>
    <w:qFormat/>
    <w:pPr>
      <w:pBdr/>
      <w:spacing/>
      <w:ind/>
    </w:pPr>
    <w:rPr>
      <w:rFonts w:ascii="Arial" w:hAnsi="Arial" w:eastAsia="Times New Roman" w:cs="Tahoma"/>
      <w:sz w:val="20"/>
      <w:szCs w:val="20"/>
      <w:lang w:eastAsia="pt-BR"/>
    </w:rPr>
  </w:style>
  <w:style w:type="character" w:styleId="1007" w:customStyle="1">
    <w:name w:val="Assunto do comentário Char"/>
    <w:basedOn w:val="1006"/>
    <w:link w:val="1031"/>
    <w:uiPriority w:val="99"/>
    <w:semiHidden/>
    <w:qFormat/>
    <w:pPr>
      <w:pBdr/>
      <w:spacing/>
      <w:ind/>
    </w:pPr>
    <w:rPr>
      <w:rFonts w:ascii="Arial" w:hAnsi="Arial" w:eastAsia="Times New Roman" w:cs="Tahoma"/>
      <w:b/>
      <w:bCs/>
      <w:sz w:val="20"/>
      <w:szCs w:val="20"/>
      <w:lang w:eastAsia="pt-BR"/>
    </w:rPr>
  </w:style>
  <w:style w:type="character" w:styleId="1008" w:customStyle="1">
    <w:name w:val="Link da Internet"/>
    <w:pPr>
      <w:pBdr/>
      <w:spacing/>
      <w:ind/>
    </w:pPr>
    <w:rPr>
      <w:color w:val="000080"/>
      <w:u w:val="single"/>
    </w:rPr>
  </w:style>
  <w:style w:type="character" w:styleId="1009" w:customStyle="1">
    <w:name w:val="Nivel 4 Char"/>
    <w:basedOn w:val="997"/>
    <w:link w:val="1037"/>
    <w:qFormat/>
    <w:pPr>
      <w:pBdr/>
      <w:spacing/>
      <w:ind/>
    </w:pPr>
    <w:rPr>
      <w:rFonts w:ascii="Ecofont_Spranq_eco_Sans" w:hAnsi="Ecofont_Spranq_eco_Sans" w:eastAsia="Arial Unicode MS" w:cs="Arial"/>
      <w:sz w:val="20"/>
      <w:szCs w:val="20"/>
      <w:lang w:eastAsia="pt-BR"/>
    </w:rPr>
  </w:style>
  <w:style w:type="character" w:styleId="1010" w:customStyle="1">
    <w:name w:val="Texto de balão Char"/>
    <w:basedOn w:val="997"/>
    <w:link w:val="1039"/>
    <w:uiPriority w:val="99"/>
    <w:semiHidden/>
    <w:qFormat/>
    <w:pPr>
      <w:pBdr/>
      <w:spacing/>
      <w:ind/>
    </w:pPr>
    <w:rPr>
      <w:rFonts w:ascii="Segoe UI" w:hAnsi="Segoe UI" w:eastAsia="Times New Roman" w:cs="Segoe UI"/>
      <w:sz w:val="18"/>
      <w:szCs w:val="18"/>
      <w:lang w:eastAsia="pt-BR"/>
    </w:rPr>
  </w:style>
  <w:style w:type="character" w:styleId="1011" w:customStyle="1">
    <w:name w:val="Cabeçalho Char"/>
    <w:basedOn w:val="997"/>
    <w:link w:val="1042"/>
    <w:uiPriority w:val="99"/>
    <w:qFormat/>
    <w:pPr>
      <w:pBdr/>
      <w:spacing/>
      <w:ind/>
    </w:pPr>
    <w:rPr>
      <w:rFonts w:ascii="Arial" w:hAnsi="Arial" w:eastAsia="Times New Roman" w:cs="Tahoma"/>
      <w:sz w:val="20"/>
      <w:szCs w:val="24"/>
      <w:lang w:eastAsia="pt-BR"/>
    </w:rPr>
  </w:style>
  <w:style w:type="character" w:styleId="1012" w:customStyle="1">
    <w:name w:val="Rodapé Char"/>
    <w:basedOn w:val="997"/>
    <w:link w:val="1044"/>
    <w:uiPriority w:val="99"/>
    <w:qFormat/>
    <w:pPr>
      <w:pBdr/>
      <w:spacing/>
      <w:ind/>
    </w:pPr>
    <w:rPr>
      <w:rFonts w:ascii="Arial" w:hAnsi="Arial" w:eastAsia="Times New Roman" w:cs="Tahoma"/>
      <w:sz w:val="20"/>
      <w:szCs w:val="24"/>
      <w:lang w:eastAsia="pt-BR"/>
    </w:rPr>
  </w:style>
  <w:style w:type="character" w:styleId="1013" w:customStyle="1">
    <w:name w:val="Link da internet visitado"/>
    <w:basedOn w:val="99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1014">
    <w:name w:val="Strong"/>
    <w:basedOn w:val="997"/>
    <w:uiPriority w:val="22"/>
    <w:qFormat/>
    <w:pPr>
      <w:pBdr/>
      <w:spacing/>
      <w:ind/>
    </w:pPr>
    <w:rPr>
      <w:b/>
      <w:bCs/>
    </w:rPr>
  </w:style>
  <w:style w:type="paragraph" w:styleId="1015">
    <w:name w:val="Title"/>
    <w:basedOn w:val="995"/>
    <w:next w:val="1017"/>
    <w:link w:val="1016"/>
    <w:qFormat/>
    <w:pPr>
      <w:keepNext w:val="true"/>
      <w:pBdr/>
      <w:spacing w:after="120" w:before="240"/>
      <w:ind/>
    </w:pPr>
    <w:rPr>
      <w:rFonts w:ascii="Liberation Sans" w:hAnsi="Liberation Sans" w:eastAsia="Noto Sans CJK SC" w:cs="FreeSans"/>
      <w:sz w:val="28"/>
      <w:szCs w:val="28"/>
    </w:rPr>
  </w:style>
  <w:style w:type="character" w:styleId="1016" w:customStyle="1">
    <w:name w:val="Título Char"/>
    <w:basedOn w:val="997"/>
    <w:link w:val="1015"/>
    <w:pPr>
      <w:pBdr/>
      <w:spacing/>
      <w:ind/>
    </w:pPr>
    <w:rPr>
      <w:rFonts w:ascii="Liberation Sans" w:hAnsi="Liberation Sans" w:eastAsia="Noto Sans CJK SC" w:cs="FreeSans"/>
      <w:sz w:val="28"/>
      <w:szCs w:val="28"/>
      <w:lang w:eastAsia="pt-BR"/>
    </w:rPr>
  </w:style>
  <w:style w:type="paragraph" w:styleId="1017">
    <w:name w:val="Body Text"/>
    <w:basedOn w:val="995"/>
    <w:link w:val="1018"/>
    <w:pPr>
      <w:pBdr/>
      <w:spacing w:after="140" w:line="276" w:lineRule="auto"/>
      <w:ind/>
    </w:pPr>
  </w:style>
  <w:style w:type="character" w:styleId="1018" w:customStyle="1">
    <w:name w:val="Corpo de texto Char"/>
    <w:basedOn w:val="997"/>
    <w:link w:val="1017"/>
    <w:pPr>
      <w:pBdr/>
      <w:spacing/>
      <w:ind/>
    </w:pPr>
    <w:rPr>
      <w:rFonts w:ascii="Arial" w:hAnsi="Arial" w:eastAsia="Times New Roman" w:cs="Tahoma"/>
      <w:sz w:val="20"/>
      <w:szCs w:val="24"/>
      <w:lang w:eastAsia="pt-BR"/>
    </w:rPr>
  </w:style>
  <w:style w:type="paragraph" w:styleId="1019">
    <w:name w:val="List"/>
    <w:basedOn w:val="1017"/>
    <w:pPr>
      <w:pBdr/>
      <w:spacing/>
      <w:ind/>
    </w:pPr>
    <w:rPr>
      <w:rFonts w:cs="FreeSans"/>
    </w:rPr>
  </w:style>
  <w:style w:type="paragraph" w:styleId="1020">
    <w:name w:val="Caption"/>
    <w:basedOn w:val="995"/>
    <w:qFormat/>
    <w:pPr>
      <w:suppressLineNumbers w:val="true"/>
      <w:pBdr/>
      <w:spacing w:after="120" w:before="120"/>
      <w:ind/>
    </w:pPr>
    <w:rPr>
      <w:rFonts w:cs="FreeSans"/>
      <w:i/>
      <w:iCs/>
      <w:sz w:val="24"/>
    </w:rPr>
  </w:style>
  <w:style w:type="paragraph" w:styleId="1021" w:customStyle="1">
    <w:name w:val="Índice"/>
    <w:basedOn w:val="995"/>
    <w:qFormat/>
    <w:pPr>
      <w:suppressLineNumbers w:val="true"/>
      <w:pBdr/>
      <w:spacing/>
      <w:ind/>
    </w:pPr>
    <w:rPr>
      <w:rFonts w:cs="FreeSans"/>
    </w:rPr>
  </w:style>
  <w:style w:type="paragraph" w:styleId="1022">
    <w:name w:val="Quote"/>
    <w:basedOn w:val="995"/>
    <w:next w:val="995"/>
    <w:link w:val="1001"/>
    <w:qFormat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ind/>
      <w:jc w:val="both"/>
    </w:pPr>
    <w:rPr>
      <w:rFonts w:eastAsia="Calibri"/>
      <w:i/>
      <w:iCs/>
      <w:color w:val="000000"/>
      <w:lang w:eastAsia="en-US"/>
    </w:rPr>
  </w:style>
  <w:style w:type="character" w:styleId="1023" w:customStyle="1">
    <w:name w:val="Citação Char1"/>
    <w:basedOn w:val="997"/>
    <w:uiPriority w:val="29"/>
    <w:pPr>
      <w:pBdr/>
      <w:spacing/>
      <w:ind/>
    </w:pPr>
    <w:rPr>
      <w:rFonts w:ascii="Arial" w:hAnsi="Arial" w:eastAsia="Times New Roman" w:cs="Tahoma"/>
      <w:i/>
      <w:iCs/>
      <w:color w:val="404040" w:themeColor="text1" w:themeTint="BF"/>
      <w:sz w:val="20"/>
      <w:szCs w:val="24"/>
      <w:lang w:eastAsia="pt-BR"/>
    </w:rPr>
  </w:style>
  <w:style w:type="paragraph" w:styleId="1024" w:customStyle="1">
    <w:name w:val="Nivel 01"/>
    <w:basedOn w:val="996"/>
    <w:next w:val="995"/>
    <w:link w:val="1002"/>
    <w:qFormat/>
    <w:pPr>
      <w:pBdr/>
      <w:spacing w:before="480"/>
      <w:ind w:right="-15"/>
    </w:pPr>
    <w:rPr>
      <w:rFonts w:cs="Times New Roman"/>
      <w:b w:val="0"/>
      <w:bCs/>
      <w:color w:val="000000"/>
      <w:szCs w:val="20"/>
    </w:rPr>
  </w:style>
  <w:style w:type="paragraph" w:styleId="1025" w:customStyle="1">
    <w:name w:val="PADRÃO"/>
    <w:qFormat/>
    <w:pPr>
      <w:keepNext w:val="true"/>
      <w:widowControl w:val="false"/>
      <w:pBdr/>
      <w:shd w:val="clear" w:color="auto" w:fill="ffffff"/>
      <w:spacing w:after="119" w:before="119" w:line="276" w:lineRule="auto"/>
      <w:ind w:firstLine="567"/>
      <w:jc w:val="both"/>
    </w:pPr>
    <w:rPr>
      <w:rFonts w:ascii="Ecofont_Spranq_eco_Sans" w:hAnsi="Ecofont_Spranq_eco_Sans" w:eastAsia="WenQuanYi Micro Hei" w:cs="Lohit Hindi"/>
      <w:sz w:val="20"/>
      <w:szCs w:val="24"/>
      <w:lang w:eastAsia="zh-CN" w:bidi="hi-IN"/>
    </w:rPr>
  </w:style>
  <w:style w:type="paragraph" w:styleId="1026">
    <w:name w:val="List Paragraph"/>
    <w:basedOn w:val="995"/>
    <w:uiPriority w:val="34"/>
    <w:qFormat/>
    <w:pPr>
      <w:pBdr/>
      <w:spacing/>
      <w:ind w:left="720"/>
      <w:contextualSpacing w:val="true"/>
    </w:pPr>
  </w:style>
  <w:style w:type="paragraph" w:styleId="1027" w:customStyle="1">
    <w:name w:val="citação 2"/>
    <w:basedOn w:val="1022"/>
    <w:qFormat/>
    <w:pPr>
      <w:pBdr/>
      <w:spacing/>
      <w:ind/>
    </w:pPr>
    <w:rPr>
      <w:szCs w:val="20"/>
    </w:rPr>
  </w:style>
  <w:style w:type="paragraph" w:styleId="1028" w:customStyle="1">
    <w:name w:val="Citação1"/>
    <w:basedOn w:val="995"/>
    <w:next w:val="995"/>
    <w:link w:val="1004"/>
    <w:qFormat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ind/>
      <w:jc w:val="both"/>
    </w:pPr>
    <w:rPr>
      <w:rFonts w:ascii="Ecofont_Spranq_eco_Sans" w:hAnsi="Ecofont_Spranq_eco_Sans" w:eastAsia="Calibri"/>
      <w:i/>
      <w:iCs/>
      <w:color w:val="000000"/>
      <w:sz w:val="22"/>
      <w:szCs w:val="22"/>
      <w:lang w:eastAsia="en-US"/>
    </w:rPr>
  </w:style>
  <w:style w:type="paragraph" w:styleId="1029">
    <w:name w:val="annotation text"/>
    <w:basedOn w:val="995"/>
    <w:link w:val="1006"/>
    <w:unhideWhenUsed/>
    <w:qFormat/>
    <w:pPr>
      <w:pBdr/>
      <w:spacing/>
      <w:ind/>
    </w:pPr>
    <w:rPr>
      <w:szCs w:val="20"/>
    </w:rPr>
  </w:style>
  <w:style w:type="character" w:styleId="1030" w:customStyle="1">
    <w:name w:val="Texto de comentário Char1"/>
    <w:basedOn w:val="997"/>
    <w:uiPriority w:val="99"/>
    <w:semiHidden/>
    <w:pPr>
      <w:pBdr/>
      <w:spacing/>
      <w:ind/>
    </w:pPr>
    <w:rPr>
      <w:rFonts w:ascii="Arial" w:hAnsi="Arial" w:eastAsia="Times New Roman" w:cs="Tahoma"/>
      <w:sz w:val="20"/>
      <w:szCs w:val="20"/>
      <w:lang w:eastAsia="pt-BR"/>
    </w:rPr>
  </w:style>
  <w:style w:type="paragraph" w:styleId="1031">
    <w:name w:val="annotation subject"/>
    <w:basedOn w:val="1029"/>
    <w:next w:val="1029"/>
    <w:link w:val="1007"/>
    <w:uiPriority w:val="99"/>
    <w:semiHidden/>
    <w:unhideWhenUsed/>
    <w:qFormat/>
    <w:pPr>
      <w:pBdr/>
      <w:spacing/>
      <w:ind/>
    </w:pPr>
    <w:rPr>
      <w:b/>
      <w:bCs/>
    </w:rPr>
  </w:style>
  <w:style w:type="character" w:styleId="1032" w:customStyle="1">
    <w:name w:val="Assunto do comentário Char1"/>
    <w:basedOn w:val="1030"/>
    <w:uiPriority w:val="99"/>
    <w:semiHidden/>
    <w:pPr>
      <w:pBdr/>
      <w:spacing/>
      <w:ind/>
    </w:pPr>
    <w:rPr>
      <w:rFonts w:ascii="Arial" w:hAnsi="Arial" w:eastAsia="Times New Roman" w:cs="Tahoma"/>
      <w:b/>
      <w:bCs/>
      <w:sz w:val="20"/>
      <w:szCs w:val="20"/>
      <w:lang w:eastAsia="pt-BR"/>
    </w:rPr>
  </w:style>
  <w:style w:type="paragraph" w:styleId="1033" w:customStyle="1">
    <w:name w:val="Nivel1"/>
    <w:basedOn w:val="996"/>
    <w:qFormat/>
    <w:pPr>
      <w:pBdr/>
      <w:spacing w:before="480"/>
      <w:ind w:left="644"/>
    </w:pPr>
    <w:rPr>
      <w:rFonts w:cs="Times New Roman"/>
      <w:b w:val="0"/>
      <w:color w:val="000000"/>
      <w:szCs w:val="20"/>
    </w:rPr>
  </w:style>
  <w:style w:type="paragraph" w:styleId="1034" w:customStyle="1">
    <w:name w:val="Nivel 2"/>
    <w:link w:val="1058"/>
    <w:qFormat/>
    <w:pPr>
      <w:numPr>
        <w:ilvl w:val="0"/>
        <w:numId w:val="3"/>
      </w:numPr>
      <w:pBdr/>
      <w:spacing w:after="120" w:before="120" w:line="276" w:lineRule="auto"/>
      <w:ind/>
      <w:jc w:val="both"/>
    </w:pPr>
    <w:rPr>
      <w:rFonts w:ascii="Ecofont_Spranq_eco_Sans" w:hAnsi="Ecofont_Spranq_eco_Sans" w:eastAsia="Arial Unicode MS" w:cs="Times New Roman"/>
      <w:sz w:val="20"/>
      <w:szCs w:val="20"/>
      <w:lang w:eastAsia="pt-BR"/>
    </w:rPr>
  </w:style>
  <w:style w:type="paragraph" w:styleId="1035" w:customStyle="1">
    <w:name w:val="Nivel 1"/>
    <w:basedOn w:val="1034"/>
    <w:next w:val="1034"/>
    <w:qFormat/>
    <w:pPr>
      <w:pBdr/>
      <w:spacing/>
      <w:ind/>
    </w:pPr>
    <w:rPr>
      <w:rFonts w:cs="Arial"/>
      <w:b/>
    </w:rPr>
  </w:style>
  <w:style w:type="paragraph" w:styleId="1036" w:customStyle="1">
    <w:name w:val="Nivel 3"/>
    <w:basedOn w:val="1034"/>
    <w:qFormat/>
    <w:pPr>
      <w:pBdr/>
      <w:spacing/>
      <w:ind/>
    </w:pPr>
    <w:rPr>
      <w:rFonts w:cs="Arial"/>
      <w:color w:val="000000"/>
    </w:rPr>
  </w:style>
  <w:style w:type="paragraph" w:styleId="1037" w:customStyle="1">
    <w:name w:val="Nivel 4"/>
    <w:basedOn w:val="1036"/>
    <w:link w:val="1009"/>
    <w:qFormat/>
    <w:pPr>
      <w:pBdr/>
      <w:spacing/>
      <w:ind/>
    </w:pPr>
    <w:rPr>
      <w:color w:val="auto"/>
    </w:rPr>
  </w:style>
  <w:style w:type="paragraph" w:styleId="1038" w:customStyle="1">
    <w:name w:val="Nivel 5"/>
    <w:basedOn w:val="1037"/>
    <w:qFormat/>
    <w:pPr>
      <w:pBdr/>
      <w:tabs>
        <w:tab w:val="left" w:leader="none" w:pos="360"/>
      </w:tabs>
      <w:spacing/>
      <w:ind/>
    </w:pPr>
  </w:style>
  <w:style w:type="paragraph" w:styleId="1039">
    <w:name w:val="Balloon Text"/>
    <w:basedOn w:val="995"/>
    <w:link w:val="1010"/>
    <w:uiPriority w:val="99"/>
    <w:semiHidden/>
    <w:unhideWhenUsed/>
    <w:qFormat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1040" w:customStyle="1">
    <w:name w:val="Texto de balão Char1"/>
    <w:basedOn w:val="997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pt-BR"/>
    </w:rPr>
  </w:style>
  <w:style w:type="paragraph" w:styleId="1041" w:customStyle="1">
    <w:name w:val="Cabeçalho e Rodapé"/>
    <w:basedOn w:val="995"/>
    <w:qFormat/>
    <w:pPr>
      <w:pBdr/>
      <w:spacing/>
      <w:ind/>
    </w:pPr>
  </w:style>
  <w:style w:type="paragraph" w:styleId="1042">
    <w:name w:val="Header"/>
    <w:basedOn w:val="995"/>
    <w:link w:val="1011"/>
    <w:uiPriority w:val="99"/>
    <w:unhideWhenUsed/>
    <w:pPr>
      <w:pBdr/>
      <w:tabs>
        <w:tab w:val="center" w:leader="none" w:pos="4252"/>
        <w:tab w:val="right" w:leader="none" w:pos="8504"/>
      </w:tabs>
      <w:spacing/>
      <w:ind/>
    </w:pPr>
  </w:style>
  <w:style w:type="character" w:styleId="1043" w:customStyle="1">
    <w:name w:val="Cabeçalho Char1"/>
    <w:basedOn w:val="997"/>
    <w:uiPriority w:val="99"/>
    <w:semiHidden/>
    <w:pPr>
      <w:pBdr/>
      <w:spacing/>
      <w:ind/>
    </w:pPr>
    <w:rPr>
      <w:rFonts w:ascii="Arial" w:hAnsi="Arial" w:eastAsia="Times New Roman" w:cs="Tahoma"/>
      <w:sz w:val="20"/>
      <w:szCs w:val="24"/>
      <w:lang w:eastAsia="pt-BR"/>
    </w:rPr>
  </w:style>
  <w:style w:type="paragraph" w:styleId="1044">
    <w:name w:val="Footer"/>
    <w:basedOn w:val="995"/>
    <w:link w:val="1012"/>
    <w:uiPriority w:val="99"/>
    <w:unhideWhenUsed/>
    <w:pPr>
      <w:pBdr/>
      <w:tabs>
        <w:tab w:val="center" w:leader="none" w:pos="4252"/>
        <w:tab w:val="right" w:leader="none" w:pos="8504"/>
      </w:tabs>
      <w:spacing/>
      <w:ind/>
    </w:pPr>
  </w:style>
  <w:style w:type="character" w:styleId="1045" w:customStyle="1">
    <w:name w:val="Rodapé Char1"/>
    <w:basedOn w:val="997"/>
    <w:uiPriority w:val="99"/>
    <w:semiHidden/>
    <w:pPr>
      <w:pBdr/>
      <w:spacing/>
      <w:ind/>
    </w:pPr>
    <w:rPr>
      <w:rFonts w:ascii="Arial" w:hAnsi="Arial" w:eastAsia="Times New Roman" w:cs="Tahoma"/>
      <w:sz w:val="20"/>
      <w:szCs w:val="24"/>
      <w:lang w:eastAsia="pt-BR"/>
    </w:rPr>
  </w:style>
  <w:style w:type="paragraph" w:styleId="1046" w:customStyle="1">
    <w:name w:val="Nivel_01_Titulo"/>
    <w:basedOn w:val="996"/>
    <w:next w:val="995"/>
    <w:qFormat/>
    <w:pPr>
      <w:pBdr/>
      <w:tabs>
        <w:tab w:val="left" w:leader="none" w:pos="360"/>
        <w:tab w:val="left" w:leader="none" w:pos="567"/>
      </w:tabs>
      <w:spacing/>
      <w:ind/>
    </w:pPr>
    <w:rPr>
      <w:rFonts w:cs="Times New Roman"/>
      <w:b w:val="0"/>
      <w:bCs/>
      <w:szCs w:val="20"/>
    </w:rPr>
  </w:style>
  <w:style w:type="paragraph" w:styleId="1047">
    <w:name w:val="Revision"/>
    <w:uiPriority w:val="99"/>
    <w:semiHidden/>
    <w:qFormat/>
    <w:pPr>
      <w:pBdr/>
      <w:spacing w:after="0" w:line="240" w:lineRule="auto"/>
      <w:ind/>
    </w:pPr>
    <w:rPr>
      <w:rFonts w:ascii="Arial" w:hAnsi="Arial" w:eastAsia="Times New Roman" w:cs="Tahoma"/>
      <w:sz w:val="20"/>
      <w:szCs w:val="24"/>
      <w:lang w:eastAsia="pt-BR"/>
    </w:rPr>
  </w:style>
  <w:style w:type="table" w:styleId="1048">
    <w:name w:val="Table Grid"/>
    <w:basedOn w:val="998"/>
    <w:uiPriority w:val="39"/>
    <w:pPr>
      <w:pBdr/>
      <w:spacing w:after="0" w:line="240" w:lineRule="auto"/>
      <w:ind/>
    </w:pPr>
    <w:rPr>
      <w:rFonts w:eastAsiaTheme="minorEastAsia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049" w:customStyle="1">
    <w:name w:val="cf01"/>
    <w:basedOn w:val="997"/>
    <w:pPr>
      <w:pBdr/>
      <w:spacing/>
      <w:ind/>
    </w:pPr>
    <w:rPr>
      <w:rFonts w:hint="default" w:ascii="Segoe UI" w:hAnsi="Segoe UI" w:cs="Segoe UI"/>
      <w:color w:val="555555"/>
      <w:sz w:val="18"/>
      <w:szCs w:val="18"/>
      <w:shd w:val="clear" w:color="auto" w:fill="ffffff"/>
    </w:rPr>
  </w:style>
  <w:style w:type="character" w:styleId="1050">
    <w:name w:val="Hyperlink"/>
    <w:basedOn w:val="99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051" w:customStyle="1">
    <w:name w:val="Menção Pendente1"/>
    <w:basedOn w:val="997"/>
    <w:uiPriority w:val="99"/>
    <w:semiHidden/>
    <w:unhideWhenUsed/>
    <w:pPr>
      <w:pBdr/>
      <w:spacing/>
      <w:ind/>
    </w:pPr>
    <w:rPr>
      <w:color w:val="605e5c"/>
      <w:shd w:val="clear" w:color="auto" w:fill="e1dfdd"/>
    </w:rPr>
  </w:style>
  <w:style w:type="character" w:styleId="1052">
    <w:name w:val="Placeholder Text"/>
    <w:basedOn w:val="997"/>
    <w:uiPriority w:val="99"/>
    <w:semiHidden/>
    <w:pPr>
      <w:pBdr/>
      <w:spacing/>
      <w:ind/>
    </w:pPr>
    <w:rPr>
      <w:color w:val="808080"/>
    </w:rPr>
  </w:style>
  <w:style w:type="character" w:styleId="1053" w:customStyle="1">
    <w:name w:val="Estilo1"/>
    <w:basedOn w:val="997"/>
    <w:uiPriority w:val="1"/>
    <w:qFormat/>
    <w:pPr>
      <w:pBdr/>
      <w:spacing/>
      <w:ind/>
    </w:pPr>
    <w:rPr>
      <w:rFonts w:ascii="Arial" w:hAnsi="Arial"/>
      <w:b/>
      <w:color w:val="538135" w:themeColor="accent6" w:themeShade="BF"/>
      <w:sz w:val="24"/>
    </w:rPr>
  </w:style>
  <w:style w:type="character" w:styleId="1054">
    <w:name w:val="Unresolved Mention"/>
    <w:basedOn w:val="997"/>
    <w:uiPriority w:val="99"/>
    <w:semiHidden/>
    <w:unhideWhenUsed/>
    <w:pPr>
      <w:pBdr/>
      <w:spacing/>
      <w:ind/>
    </w:pPr>
    <w:rPr>
      <w:color w:val="605e5c"/>
      <w:shd w:val="clear" w:color="auto" w:fill="e1dfdd"/>
    </w:rPr>
  </w:style>
  <w:style w:type="character" w:styleId="1055">
    <w:name w:val="FollowedHyperlink"/>
    <w:basedOn w:val="99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56">
    <w:name w:val="TOC Heading"/>
    <w:basedOn w:val="996"/>
    <w:next w:val="995"/>
    <w:uiPriority w:val="39"/>
    <w:unhideWhenUsed/>
    <w:qFormat/>
    <w:pPr>
      <w:keepNext w:val="true"/>
      <w:keepLines w:val="true"/>
      <w:numPr>
        <w:ilvl w:val="0"/>
        <w:numId w:val="0"/>
      </w:numPr>
      <w:pBdr/>
      <w:spacing w:after="0" w:before="240" w:line="259" w:lineRule="auto"/>
      <w:ind/>
      <w:jc w:val="left"/>
      <w:outlineLvl w:val="9"/>
    </w:pPr>
    <w:rPr>
      <w:rFonts w:asciiTheme="majorHAnsi" w:hAnsiTheme="majorHAnsi" w:eastAsiaTheme="majorEastAsia" w:cstheme="majorBidi"/>
      <w:b w:val="0"/>
      <w:color w:val="2e74b5" w:themeColor="accent1" w:themeShade="BF"/>
      <w:sz w:val="32"/>
      <w:szCs w:val="32"/>
      <w:lang w:eastAsia="pt-BR" w:bidi="ar-SA"/>
    </w:rPr>
  </w:style>
  <w:style w:type="paragraph" w:styleId="1057">
    <w:name w:val="toc 1"/>
    <w:basedOn w:val="995"/>
    <w:next w:val="995"/>
    <w:uiPriority w:val="39"/>
    <w:unhideWhenUsed/>
    <w:pPr>
      <w:pBdr/>
      <w:tabs>
        <w:tab w:val="left" w:leader="none" w:pos="440"/>
        <w:tab w:val="right" w:leader="dot" w:pos="8494"/>
      </w:tabs>
      <w:spacing w:after="100"/>
      <w:ind/>
    </w:pPr>
  </w:style>
  <w:style w:type="character" w:styleId="1058" w:customStyle="1">
    <w:name w:val="Nivel 2 Char"/>
    <w:basedOn w:val="997"/>
    <w:link w:val="1034"/>
    <w:pPr>
      <w:pBdr/>
      <w:spacing/>
      <w:ind/>
    </w:pPr>
    <w:rPr>
      <w:rFonts w:ascii="Ecofont_Spranq_eco_Sans" w:hAnsi="Ecofont_Spranq_eco_Sans" w:eastAsia="Arial Unicode MS" w:cs="Times New Roman"/>
      <w:sz w:val="20"/>
      <w:szCs w:val="20"/>
      <w:lang w:eastAsia="pt-BR"/>
    </w:rPr>
  </w:style>
  <w:style w:type="paragraph" w:styleId="1059" w:customStyle="1">
    <w:name w:val="Nível 3-R"/>
    <w:basedOn w:val="1036"/>
    <w:link w:val="1061"/>
    <w:qFormat/>
    <w:pPr>
      <w:numPr>
        <w:ilvl w:val="2"/>
        <w:numId w:val="1"/>
      </w:numPr>
      <w:pBdr/>
      <w:spacing/>
      <w:ind w:firstLine="0" w:left="284"/>
    </w:pPr>
    <w:rPr>
      <w:rFonts w:ascii="Arial" w:hAnsi="Arial" w:eastAsiaTheme="minorEastAsia"/>
      <w:i/>
      <w:iCs/>
      <w:color w:val="ff0000"/>
    </w:rPr>
  </w:style>
  <w:style w:type="paragraph" w:styleId="1060" w:customStyle="1">
    <w:name w:val="Nível 4-R"/>
    <w:basedOn w:val="1037"/>
    <w:link w:val="1062"/>
    <w:qFormat/>
    <w:pPr>
      <w:numPr>
        <w:ilvl w:val="3"/>
        <w:numId w:val="1"/>
      </w:numPr>
      <w:pBdr/>
      <w:spacing/>
      <w:ind w:firstLine="0" w:left="567"/>
    </w:pPr>
    <w:rPr>
      <w:rFonts w:ascii="Arial" w:hAnsi="Arial" w:eastAsiaTheme="minorEastAsia"/>
      <w:i/>
      <w:iCs/>
      <w:color w:val="ff0000"/>
    </w:rPr>
  </w:style>
  <w:style w:type="character" w:styleId="1061" w:customStyle="1">
    <w:name w:val="Nível 3-R Char"/>
    <w:basedOn w:val="997"/>
    <w:link w:val="1059"/>
    <w:pPr>
      <w:pBdr/>
      <w:spacing/>
      <w:ind/>
    </w:pPr>
    <w:rPr>
      <w:rFonts w:ascii="Arial" w:hAnsi="Arial" w:cs="Arial" w:eastAsiaTheme="minorEastAsia"/>
      <w:i/>
      <w:iCs/>
      <w:color w:val="ff0000"/>
      <w:sz w:val="20"/>
      <w:szCs w:val="20"/>
      <w:lang w:eastAsia="pt-BR"/>
    </w:rPr>
  </w:style>
  <w:style w:type="character" w:styleId="1062" w:customStyle="1">
    <w:name w:val="Nível 4-R Char"/>
    <w:basedOn w:val="1009"/>
    <w:link w:val="1060"/>
    <w:pPr>
      <w:pBdr/>
      <w:spacing/>
      <w:ind/>
    </w:pPr>
    <w:rPr>
      <w:rFonts w:ascii="Arial" w:hAnsi="Arial" w:cs="Arial" w:eastAsiaTheme="minorEastAsia"/>
      <w:i/>
      <w:iCs/>
      <w:color w:val="ff0000"/>
      <w:sz w:val="20"/>
      <w:szCs w:val="20"/>
      <w:lang w:eastAsia="pt-BR"/>
    </w:rPr>
  </w:style>
  <w:style w:type="paragraph" w:styleId="1063" w:customStyle="1">
    <w:name w:val="WW-Título"/>
    <w:basedOn w:val="995"/>
    <w:next w:val="1064"/>
    <w:pPr>
      <w:keepNext w:val="true"/>
      <w:pBdr/>
      <w:spacing w:after="120" w:before="240"/>
      <w:ind/>
    </w:pPr>
    <w:rPr>
      <w:rFonts w:eastAsia="Lucida Sans Unicode" w:cs="Times New Roman"/>
      <w:sz w:val="28"/>
      <w:szCs w:val="28"/>
      <w:lang w:eastAsia="zh-CN"/>
    </w:rPr>
  </w:style>
  <w:style w:type="paragraph" w:styleId="1064">
    <w:name w:val="Subtitle"/>
    <w:basedOn w:val="995"/>
    <w:next w:val="995"/>
    <w:link w:val="1065"/>
    <w:uiPriority w:val="11"/>
    <w:qFormat/>
    <w:pPr>
      <w:numPr>
        <w:ilvl w:val="1"/>
      </w:numPr>
      <w:pBdr/>
      <w:spacing w:after="160"/>
      <w:ind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character" w:styleId="1065" w:customStyle="1">
    <w:name w:val="Subtítulo Char"/>
    <w:basedOn w:val="997"/>
    <w:link w:val="1064"/>
    <w:uiPriority w:val="11"/>
    <w:pPr>
      <w:pBdr/>
      <w:spacing/>
      <w:ind/>
    </w:pPr>
    <w:rPr>
      <w:rFonts w:eastAsiaTheme="minorEastAsia"/>
      <w:color w:val="5a5a5a" w:themeColor="text1" w:themeTint="A5"/>
      <w:spacing w:val="15"/>
      <w:lang w:eastAsia="pt-BR"/>
    </w:rPr>
  </w:style>
  <w:style w:type="paragraph" w:styleId="1066" w:customStyle="1">
    <w:name w:val="Standard (user)"/>
    <w:pPr>
      <w:widowControl w:val="false"/>
      <w:pBdr/>
      <w:spacing w:after="0" w:line="240" w:lineRule="auto"/>
      <w:ind/>
    </w:pPr>
    <w:rPr>
      <w:rFonts w:ascii="Liberation Serif" w:hAnsi="Liberation Serif" w:eastAsia="DejaVu Sans" w:cs="Lohit Hindi"/>
      <w:color w:val="00000a"/>
      <w:sz w:val="24"/>
      <w:szCs w:val="24"/>
      <w:lang w:eastAsia="zh-CN" w:bidi="hi-I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customXml" Target="../customXml/item1.xml" /><Relationship Id="rId13" Type="http://schemas.openxmlformats.org/officeDocument/2006/relationships/customXml" Target="../customXml/item2.xml" /><Relationship Id="rId14" Type="http://schemas.openxmlformats.org/officeDocument/2006/relationships/customXml" Target="../customXml/item3.xml" /><Relationship Id="rId15" Type="http://schemas.openxmlformats.org/officeDocument/2006/relationships/customXml" Target="../customXml/item4.xml" /><Relationship Id="rId16" Type="http://schemas.openxmlformats.org/officeDocument/2006/relationships/image" Target="media/image2.png"/><Relationship Id="rId17" Type="http://schemas.openxmlformats.org/officeDocument/2006/relationships/hyperlink" Target="http://www.planalto.gov.br/ccivil_03/_ato2019-2022/2021/lei/L14133.htm" TargetMode="External"/><Relationship Id="rId18" Type="http://schemas.openxmlformats.org/officeDocument/2006/relationships/hyperlink" Target="http://www.planalto.gov.br/ccivil_03/_ato2019-2022/2021/lei/L14133.htm" TargetMode="External"/><Relationship Id="rId19" Type="http://schemas.openxmlformats.org/officeDocument/2006/relationships/hyperlink" Target="https://www.gov.br/compras/pt-br/acesso-a-informacao/legislacao/instrucoes-normativas/instrucao-normativa-seges-me-no-67-de-8-de-julho-de-2021" TargetMode="External"/><Relationship Id="rId20" Type="http://schemas.openxmlformats.org/officeDocument/2006/relationships/hyperlink" Target="http://www.gov.br/compras" TargetMode="External"/><Relationship Id="rId21" Type="http://schemas.openxmlformats.org/officeDocument/2006/relationships/hyperlink" Target="http://www.pncp.gov.br" TargetMode="External"/><Relationship Id="rId22" Type="http://schemas.openxmlformats.org/officeDocument/2006/relationships/hyperlink" Target="https://www.gov.br/compras/pt-br/sistemas/conheca-o-compras/aplicativo-compras" TargetMode="External"/><Relationship Id="rId23" Type="http://schemas.openxmlformats.org/officeDocument/2006/relationships/hyperlink" Target="http://www.planalto.gov.br/ccivil_03/LEIS/L6404consol.htm" TargetMode="External"/><Relationship Id="rId24" Type="http://schemas.openxmlformats.org/officeDocument/2006/relationships/hyperlink" Target="https://www.planalto.gov.br/ccivil_03/_ato2007-2010/2007/lei/l11488.htm" TargetMode="External"/><Relationship Id="rId25" Type="http://schemas.openxmlformats.org/officeDocument/2006/relationships/hyperlink" Target="http://www.planalto.gov.br/ccivil_03/_ato2019-2022/2021/lei/L14133.htm" TargetMode="External"/><Relationship Id="rId26" Type="http://schemas.openxmlformats.org/officeDocument/2006/relationships/hyperlink" Target="https://www.planalto.gov.br/ccivil_03/leis/l8213cons.htm" TargetMode="External"/><Relationship Id="rId27" Type="http://schemas.openxmlformats.org/officeDocument/2006/relationships/hyperlink" Target="https://normas.leg.br/?urn=urn:lex:br:federal:constituicao:1988-10-05;1988" TargetMode="External"/><Relationship Id="rId28" Type="http://schemas.openxmlformats.org/officeDocument/2006/relationships/hyperlink" Target="http://www.planalto.gov.br/ccivil_03/_ato2019-2022/2021/lei/L14133.htm" TargetMode="External"/><Relationship Id="rId29" Type="http://schemas.openxmlformats.org/officeDocument/2006/relationships/hyperlink" Target="https://www.planalto.gov.br/ccivil_03/leis/lcp/lcp123.htm" TargetMode="External"/><Relationship Id="rId30" Type="http://schemas.openxmlformats.org/officeDocument/2006/relationships/hyperlink" Target="http://www.planalto.gov.br/ccivil_03/_ato2019-2022/2021/lei/L14133.htm" TargetMode="External"/><Relationship Id="rId31" Type="http://schemas.openxmlformats.org/officeDocument/2006/relationships/hyperlink" Target="https://www.in.gov.br/en/web/dou/-/instrucao-normativa-seges/me-n-67-de-8-de-julho-de-2021-330985107" TargetMode="External"/><Relationship Id="rId32" Type="http://schemas.openxmlformats.org/officeDocument/2006/relationships/hyperlink" Target="http://www.planalto.gov.br/ccivil_03/_ato2019-2022/2021/lei/L14133.htm" TargetMode="External"/><Relationship Id="rId33" Type="http://schemas.openxmlformats.org/officeDocument/2006/relationships/hyperlink" Target="http://www.planalto.gov.br/ccivil_03/_ato2019-2022/2021/lei/L14133.htm" TargetMode="External"/><Relationship Id="rId34" Type="http://schemas.openxmlformats.org/officeDocument/2006/relationships/hyperlink" Target="http://www.planalto.gov.br/ccivil_03/_ato2019-2022/2021/lei/L14133.htm" TargetMode="External"/><Relationship Id="rId35" Type="http://schemas.openxmlformats.org/officeDocument/2006/relationships/hyperlink" Target="http://www.planalto.gov.br/ccivil_03/_ato2019-2022/2021/lei/L14133.htm" TargetMode="External"/><Relationship Id="rId36" Type="http://schemas.openxmlformats.org/officeDocument/2006/relationships/hyperlink" Target="http://www.planalto.gov.br/ccivil_03/_ato2019-2022/2021/lei/L14133.htm" TargetMode="External"/><Relationship Id="rId37" Type="http://schemas.openxmlformats.org/officeDocument/2006/relationships/hyperlink" Target="http://www.planalto.gov.br/ccivil_03/_ato2019-2022/2021/lei/L14133.htm" TargetMode="External"/><Relationship Id="rId38" Type="http://schemas.openxmlformats.org/officeDocument/2006/relationships/hyperlink" Target="http://www.planalto.gov.br/ccivil_03/_ato2019-2022/2021/lei/L14133.htm" TargetMode="External"/><Relationship Id="rId39" Type="http://schemas.openxmlformats.org/officeDocument/2006/relationships/hyperlink" Target="http://www.planalto.gov.br/ccivil_03/_ato2019-2022/2021/lei/L14133.htm" TargetMode="External"/><Relationship Id="rId40" Type="http://schemas.openxmlformats.org/officeDocument/2006/relationships/hyperlink" Target="http://www.planalto.gov.br/ccivil_03/_ato2019-2022/2021/lei/L14133.htm" TargetMode="External"/><Relationship Id="rId41" Type="http://schemas.openxmlformats.org/officeDocument/2006/relationships/hyperlink" Target="http://www.planalto.gov.br/ccivil_03/_ato2019-2022/2021/lei/L14133.htm" TargetMode="External"/><Relationship Id="rId42" Type="http://schemas.openxmlformats.org/officeDocument/2006/relationships/hyperlink" Target="http://www.planalto.gov.br/ccivil_03/_ato2019-2022/2021/lei/L14133.htm" TargetMode="External"/><Relationship Id="rId43" Type="http://schemas.openxmlformats.org/officeDocument/2006/relationships/hyperlink" Target="https://www.planalto.gov.br/ccivil_03/_ato2011-2014/2013/lei/l12846.htm" TargetMode="External"/><Relationship Id="rId44" Type="http://schemas.openxmlformats.org/officeDocument/2006/relationships/hyperlink" Target="http://www.planalto.gov.br/ccivil_03/_ato2019-2022/2021/lei/L14133.htm" TargetMode="External"/><Relationship Id="rId45" Type="http://schemas.openxmlformats.org/officeDocument/2006/relationships/hyperlink" Target="http://www.planalto.gov.br/ccivil_03/_ato2019-2022/2021/lei/L14133.htm" TargetMode="External"/><Relationship Id="rId46" Type="http://schemas.openxmlformats.org/officeDocument/2006/relationships/hyperlink" Target="http://www.planalto.gov.br/ccivil_03/_ato2019-2022/2021/lei/L14133.htm" TargetMode="External"/><Relationship Id="rId47" Type="http://schemas.openxmlformats.org/officeDocument/2006/relationships/hyperlink" Target="http://www.planalto.gov.br/ccivil_03/_ato2019-2022/2021/lei/L14133.htm" TargetMode="External"/><Relationship Id="rId48" Type="http://schemas.openxmlformats.org/officeDocument/2006/relationships/comments" Target="comments.xml" /><Relationship Id="rId49" Type="http://schemas.microsoft.com/office/2011/relationships/commentsExtended" Target="commentsExtended.xml" /><Relationship Id="rId50" Type="http://schemas.microsoft.com/office/2016/09/relationships/commentsIds" Target="commentsIds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mprasnet.gov.br/seguro/loginPortalFornecedor.asp" TargetMode="External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11" ma:contentTypeDescription="Create a new document." ma:contentTypeScope="" ma:versionID="e70127738e827533416543845b966220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e774a8ad599c2eba4965911a776cf057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565020-22B7-4262-B8E6-8374666224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732244-8EEB-40C8-A9DE-CA133F6475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1A1F48-A4CA-4CF4-AAA3-A5F79FD27E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B32C83-6180-429F-9AAF-89D28309A3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ONLYOFFICE/8.0.0.99</Application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>4</cp:revision>
  <dcterms:created xsi:type="dcterms:W3CDTF">2023-08-30T14:09:00Z</dcterms:created>
  <dcterms:modified xsi:type="dcterms:W3CDTF">2024-06-06T14:13:24Z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